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="00EC62A6">
        <w:rPr>
          <w:bCs/>
          <w:sz w:val="28"/>
          <w:szCs w:val="28"/>
          <w:u w:val="single"/>
        </w:rPr>
        <w:t>15</w:t>
      </w:r>
      <w:r w:rsidR="006B0C79" w:rsidRPr="00EE0181">
        <w:rPr>
          <w:sz w:val="28"/>
        </w:rPr>
        <w:t>»</w:t>
      </w:r>
      <w:r w:rsidR="00540242">
        <w:rPr>
          <w:sz w:val="28"/>
        </w:rPr>
        <w:t xml:space="preserve"> </w:t>
      </w:r>
      <w:r w:rsidR="00EC62A6">
        <w:rPr>
          <w:sz w:val="28"/>
          <w:u w:val="single"/>
        </w:rPr>
        <w:t>декабря</w:t>
      </w:r>
      <w:r w:rsidRPr="00EE0181">
        <w:rPr>
          <w:bCs/>
          <w:sz w:val="28"/>
          <w:szCs w:val="28"/>
        </w:rPr>
        <w:t xml:space="preserve"> 20</w:t>
      </w:r>
      <w:r w:rsidR="00EC62A6"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</w:t>
      </w:r>
      <w:r w:rsidR="00540242">
        <w:rPr>
          <w:bCs/>
          <w:sz w:val="28"/>
          <w:szCs w:val="28"/>
        </w:rPr>
        <w:t xml:space="preserve">            </w:t>
      </w:r>
      <w:r w:rsidRPr="00EE0181">
        <w:rPr>
          <w:bCs/>
          <w:sz w:val="28"/>
          <w:szCs w:val="28"/>
        </w:rPr>
        <w:t xml:space="preserve">     № </w:t>
      </w:r>
      <w:r w:rsidR="000B4554">
        <w:rPr>
          <w:bCs/>
          <w:sz w:val="28"/>
          <w:szCs w:val="28"/>
          <w:u w:val="single"/>
        </w:rPr>
        <w:t>357</w:t>
      </w:r>
      <w:bookmarkStart w:id="0" w:name="_GoBack"/>
      <w:bookmarkEnd w:id="0"/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EC62A6" w:rsidRPr="0090732C" w:rsidRDefault="00EC62A6" w:rsidP="00EC62A6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  <w:r w:rsidR="003B70FA">
        <w:rPr>
          <w:rStyle w:val="a3"/>
          <w:rFonts w:ascii="Times New Roman" w:hAnsi="Times New Roman"/>
          <w:i w:val="0"/>
          <w:lang w:val="ru-RU"/>
        </w:rPr>
        <w:t xml:space="preserve"> (в редакции от 21</w:t>
      </w:r>
      <w:r>
        <w:rPr>
          <w:rStyle w:val="a3"/>
          <w:rFonts w:ascii="Times New Roman" w:hAnsi="Times New Roman"/>
          <w:i w:val="0"/>
          <w:lang w:val="ru-RU"/>
        </w:rPr>
        <w:t>.</w:t>
      </w:r>
      <w:r w:rsidR="003B70FA">
        <w:rPr>
          <w:rStyle w:val="a3"/>
          <w:rFonts w:ascii="Times New Roman" w:hAnsi="Times New Roman"/>
          <w:i w:val="0"/>
          <w:lang w:val="ru-RU"/>
        </w:rPr>
        <w:t>06.</w:t>
      </w:r>
      <w:r>
        <w:rPr>
          <w:rStyle w:val="a3"/>
          <w:rFonts w:ascii="Times New Roman" w:hAnsi="Times New Roman"/>
          <w:i w:val="0"/>
          <w:lang w:val="ru-RU"/>
        </w:rPr>
        <w:t>2024)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</w:t>
      </w:r>
      <w:r w:rsidR="004A17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A17A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A17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3227C5">
        <w:rPr>
          <w:rFonts w:eastAsia="Calibri"/>
          <w:sz w:val="28"/>
          <w:szCs w:val="28"/>
        </w:rPr>
        <w:t xml:space="preserve"> 28 890 529,19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3227C5">
        <w:rPr>
          <w:rFonts w:eastAsia="Calibri"/>
          <w:sz w:val="28"/>
          <w:szCs w:val="28"/>
        </w:rPr>
        <w:t>30 009 110,72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3227C5">
        <w:rPr>
          <w:rFonts w:eastAsia="Calibri"/>
          <w:sz w:val="28"/>
          <w:szCs w:val="28"/>
        </w:rPr>
        <w:t>1 118 581,53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рублей, </w:t>
      </w:r>
      <w:r w:rsidR="006B0C79">
        <w:rPr>
          <w:rFonts w:eastAsia="Calibri"/>
          <w:sz w:val="28"/>
          <w:szCs w:val="28"/>
        </w:rPr>
        <w:t xml:space="preserve">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3227C5">
        <w:rPr>
          <w:rFonts w:eastAsia="Calibri"/>
          <w:sz w:val="28"/>
          <w:szCs w:val="28"/>
        </w:rPr>
        <w:t>289 610,87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</w:t>
      </w:r>
      <w:r w:rsidR="003227C5">
        <w:rPr>
          <w:rFonts w:eastAsia="Calibri"/>
          <w:sz w:val="28"/>
          <w:szCs w:val="28"/>
        </w:rPr>
        <w:t>17 889 744,20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3227C5">
        <w:rPr>
          <w:rFonts w:eastAsia="Calibri"/>
          <w:sz w:val="28"/>
          <w:szCs w:val="28"/>
        </w:rPr>
        <w:t>191 419,16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3227C5">
        <w:rPr>
          <w:rFonts w:eastAsia="Calibri"/>
          <w:sz w:val="28"/>
          <w:szCs w:val="28"/>
        </w:rPr>
        <w:t>85 000,00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>тыс. рублей,</w:t>
      </w:r>
      <w:r w:rsidR="0082151D">
        <w:rPr>
          <w:rFonts w:eastAsia="Calibri"/>
          <w:sz w:val="28"/>
          <w:szCs w:val="28"/>
        </w:rPr>
        <w:t xml:space="preserve">   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3227C5">
        <w:rPr>
          <w:rFonts w:eastAsia="Calibri"/>
          <w:sz w:val="28"/>
          <w:szCs w:val="28"/>
        </w:rPr>
        <w:t>662 881,00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3227C5">
        <w:rPr>
          <w:rFonts w:eastAsia="Calibri"/>
          <w:sz w:val="28"/>
          <w:szCs w:val="28"/>
        </w:rPr>
        <w:t>1 001 367,88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5E16B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3227C5">
        <w:rPr>
          <w:rFonts w:eastAsia="Calibri"/>
          <w:sz w:val="28"/>
          <w:szCs w:val="28"/>
        </w:rPr>
        <w:t>1 113 784,05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14 300,77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6A345B">
        <w:rPr>
          <w:rFonts w:eastAsia="Calibri"/>
          <w:sz w:val="28"/>
          <w:szCs w:val="28"/>
        </w:rPr>
        <w:t>40 432,99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40 113,38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1 293 755,23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7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3227C5">
        <w:rPr>
          <w:sz w:val="28"/>
          <w:szCs w:val="28"/>
        </w:rPr>
        <w:t>61 834,36</w:t>
      </w:r>
      <w:r w:rsidR="00EB28E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</w:t>
      </w:r>
      <w:r w:rsidR="003227C5">
        <w:rPr>
          <w:rFonts w:eastAsia="Calibri"/>
          <w:sz w:val="28"/>
          <w:szCs w:val="28"/>
        </w:rPr>
        <w:t xml:space="preserve">2025 год в сумме 80 000,00 тыс. рублей, на 2026 год в сумме 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5E16B0" w:rsidRDefault="006A345B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3) </w:t>
      </w:r>
      <w:r w:rsidR="005E16B0" w:rsidRPr="00717A74">
        <w:rPr>
          <w:sz w:val="28"/>
        </w:rPr>
        <w:t>обеспечение</w:t>
      </w:r>
      <w:r>
        <w:rPr>
          <w:sz w:val="28"/>
        </w:rPr>
        <w:t xml:space="preserve"> выполнения обязательств, предусмотренных соглашениями о </w:t>
      </w:r>
      <w:r w:rsidR="005E16B0" w:rsidRPr="00CE3512">
        <w:rPr>
          <w:rFonts w:eastAsia="Calibri"/>
          <w:sz w:val="28"/>
          <w:szCs w:val="28"/>
        </w:rPr>
        <w:t>предоставле</w:t>
      </w:r>
      <w:r w:rsidR="005E16B0">
        <w:rPr>
          <w:rFonts w:eastAsia="Calibri"/>
          <w:sz w:val="28"/>
          <w:szCs w:val="28"/>
        </w:rPr>
        <w:t xml:space="preserve">ния бюджету муниципального образования </w:t>
      </w:r>
      <w:r w:rsidR="005E16B0" w:rsidRPr="00CE3512">
        <w:rPr>
          <w:rFonts w:eastAsia="Calibri"/>
          <w:sz w:val="28"/>
          <w:szCs w:val="28"/>
        </w:rPr>
        <w:t>межбюджетных трансфертов из бюджетов других уровней</w:t>
      </w:r>
      <w:r w:rsidR="005E16B0" w:rsidRPr="003C3209">
        <w:rPr>
          <w:sz w:val="28"/>
          <w:szCs w:val="28"/>
        </w:rPr>
        <w:t xml:space="preserve"> на 202</w:t>
      </w:r>
      <w:r w:rsidR="005E16B0">
        <w:rPr>
          <w:sz w:val="28"/>
          <w:szCs w:val="28"/>
        </w:rPr>
        <w:t xml:space="preserve">4 год </w:t>
      </w:r>
      <w:r w:rsidR="005E16B0" w:rsidRPr="003C3209">
        <w:rPr>
          <w:sz w:val="28"/>
          <w:szCs w:val="28"/>
        </w:rPr>
        <w:t xml:space="preserve">в сумме </w:t>
      </w:r>
      <w:r w:rsidR="003227C5">
        <w:rPr>
          <w:sz w:val="28"/>
          <w:szCs w:val="28"/>
        </w:rPr>
        <w:t>95 000,00</w:t>
      </w:r>
      <w:r w:rsidR="005E16B0" w:rsidRPr="003C320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6A345B" w:rsidRDefault="006A345B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051B7">
        <w:rPr>
          <w:sz w:val="28"/>
          <w:szCs w:val="28"/>
        </w:rPr>
        <w:t xml:space="preserve">   </w:t>
      </w:r>
      <w:r w:rsidR="005051B7" w:rsidRPr="005051B7">
        <w:rPr>
          <w:sz w:val="28"/>
          <w:szCs w:val="28"/>
        </w:rPr>
        <w:t xml:space="preserve">возмещение затрат в части расходов, финансируемых за счет средств концедента, на создание и реконструкцию, использование (эксплуатацию) объекта концессионного соглашения и иного имущества, предназначенных для освещения территории города Нижневартовска, на 2024 год в сумме                        </w:t>
      </w:r>
      <w:r w:rsidR="005051B7" w:rsidRPr="005051B7">
        <w:rPr>
          <w:sz w:val="28"/>
          <w:szCs w:val="28"/>
        </w:rPr>
        <w:lastRenderedPageBreak/>
        <w:t>114 103,90 тыс. рублей, на 2025 год в сумме 73 093,25 тыс. рублей, на 2026 год в сумме 90 590,54 тыс. рублей.</w:t>
      </w:r>
    </w:p>
    <w:p w:rsidR="003227C5" w:rsidRPr="009B4DE6" w:rsidRDefault="003227C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sz w:val="28"/>
          <w:szCs w:val="28"/>
        </w:rPr>
        <w:t>5) повышение оплаты труда отдельных квалификационных профессий рабочих, осуществляющих работы по дорожной деятельности и благоустройству на территории города, на 2024 год в сумме 40 00,00 тыс. рублей.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</w:t>
      </w:r>
      <w:r w:rsidR="006B0C79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5051B7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</w:t>
      </w:r>
      <w:r w:rsidR="00CE3512">
        <w:rPr>
          <w:rFonts w:eastAsia="Calibri"/>
          <w:sz w:val="28"/>
          <w:szCs w:val="28"/>
        </w:rPr>
        <w:lastRenderedPageBreak/>
        <w:t xml:space="preserve">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="00125C23"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="00125C23"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</w:t>
      </w:r>
      <w:r w:rsidR="00731800" w:rsidRPr="00723A96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8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</w:t>
      </w:r>
      <w:r w:rsidR="00125C23" w:rsidRPr="00FB2EF2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1" w:name="sub_20"/>
      <w:bookmarkEnd w:id="20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/>
    <w:sectPr w:rsidR="00A425B9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E3" w:rsidRDefault="00F149E3">
      <w:r>
        <w:separator/>
      </w:r>
    </w:p>
  </w:endnote>
  <w:endnote w:type="continuationSeparator" w:id="0">
    <w:p w:rsidR="00F149E3" w:rsidRDefault="00F1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E3" w:rsidRDefault="00F149E3">
      <w:r>
        <w:separator/>
      </w:r>
    </w:p>
  </w:footnote>
  <w:footnote w:type="continuationSeparator" w:id="0">
    <w:p w:rsidR="00F149E3" w:rsidRDefault="00F14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554">
          <w:rPr>
            <w:noProof/>
          </w:rPr>
          <w:t>2</w:t>
        </w:r>
        <w:r>
          <w:fldChar w:fldCharType="end"/>
        </w:r>
      </w:p>
    </w:sdtContent>
  </w:sdt>
  <w:p w:rsidR="0011544E" w:rsidRDefault="000B45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0B4554">
    <w:pPr>
      <w:pStyle w:val="a4"/>
    </w:pPr>
  </w:p>
  <w:p w:rsidR="0011544E" w:rsidRDefault="000B45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B4554"/>
    <w:rsid w:val="000C40E6"/>
    <w:rsid w:val="000F1AFA"/>
    <w:rsid w:val="00125C23"/>
    <w:rsid w:val="00276171"/>
    <w:rsid w:val="003227C5"/>
    <w:rsid w:val="00332626"/>
    <w:rsid w:val="0036467D"/>
    <w:rsid w:val="003A32B2"/>
    <w:rsid w:val="003B197A"/>
    <w:rsid w:val="003B70FA"/>
    <w:rsid w:val="003D61BE"/>
    <w:rsid w:val="00404491"/>
    <w:rsid w:val="00441D61"/>
    <w:rsid w:val="00443502"/>
    <w:rsid w:val="004A17AE"/>
    <w:rsid w:val="004A31D0"/>
    <w:rsid w:val="005051B7"/>
    <w:rsid w:val="00521F14"/>
    <w:rsid w:val="00540242"/>
    <w:rsid w:val="005A522F"/>
    <w:rsid w:val="005A5AB6"/>
    <w:rsid w:val="005B2884"/>
    <w:rsid w:val="005C256E"/>
    <w:rsid w:val="005D70B1"/>
    <w:rsid w:val="005E16B0"/>
    <w:rsid w:val="0064771F"/>
    <w:rsid w:val="00684971"/>
    <w:rsid w:val="006A345B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D05648"/>
    <w:rsid w:val="00D11A3A"/>
    <w:rsid w:val="00D81D9C"/>
    <w:rsid w:val="00DA0D60"/>
    <w:rsid w:val="00DF3BBB"/>
    <w:rsid w:val="00E74164"/>
    <w:rsid w:val="00EB28E9"/>
    <w:rsid w:val="00EC62A6"/>
    <w:rsid w:val="00ED2F38"/>
    <w:rsid w:val="00F149E3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1AC4"/>
  <w15:docId w15:val="{E9DC5EF2-090C-49A3-A8D7-8E30BE6A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3146&amp;field=134&amp;date=24.10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4695&amp;date=26.10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7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Черепанова Ксения Александровна</cp:lastModifiedBy>
  <cp:revision>63</cp:revision>
  <cp:lastPrinted>2023-12-13T06:55:00Z</cp:lastPrinted>
  <dcterms:created xsi:type="dcterms:W3CDTF">2023-10-24T06:48:00Z</dcterms:created>
  <dcterms:modified xsi:type="dcterms:W3CDTF">2024-10-01T07:30:00Z</dcterms:modified>
</cp:coreProperties>
</file>