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73" w:rsidRPr="00CB0849" w:rsidRDefault="00D73773" w:rsidP="00D73773">
      <w:pPr>
        <w:ind w:firstLine="709"/>
        <w:jc w:val="center"/>
        <w:rPr>
          <w:sz w:val="16"/>
          <w:szCs w:val="16"/>
        </w:rPr>
      </w:pPr>
    </w:p>
    <w:p w:rsidR="00D73773" w:rsidRDefault="00D73773" w:rsidP="009C00E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111F8">
        <w:rPr>
          <w:sz w:val="28"/>
          <w:szCs w:val="28"/>
        </w:rPr>
        <w:t xml:space="preserve">екомендации </w:t>
      </w:r>
      <w:r w:rsidRPr="002111F8">
        <w:rPr>
          <w:color w:val="000000"/>
          <w:sz w:val="28"/>
          <w:szCs w:val="28"/>
        </w:rPr>
        <w:t xml:space="preserve">о разработке и принятии правил, регламентирующих вопросы </w:t>
      </w:r>
      <w:bookmarkStart w:id="0" w:name="_GoBack"/>
      <w:bookmarkEnd w:id="0"/>
      <w:r w:rsidRPr="002111F8">
        <w:rPr>
          <w:color w:val="000000"/>
          <w:sz w:val="28"/>
          <w:szCs w:val="28"/>
        </w:rPr>
        <w:t>обмена деловыми подарками и знаками делового гостеприимства</w:t>
      </w:r>
      <w:r>
        <w:rPr>
          <w:color w:val="000000"/>
          <w:sz w:val="28"/>
          <w:szCs w:val="28"/>
        </w:rPr>
        <w:t xml:space="preserve"> </w:t>
      </w:r>
      <w:r w:rsidR="009C00E3">
        <w:rPr>
          <w:color w:val="000000"/>
          <w:sz w:val="28"/>
          <w:szCs w:val="28"/>
        </w:rPr>
        <w:t>в организациях частного сектора</w:t>
      </w:r>
    </w:p>
    <w:p w:rsidR="00D73773" w:rsidRPr="00CB0849" w:rsidRDefault="00D73773" w:rsidP="00D73773">
      <w:pPr>
        <w:jc w:val="both"/>
        <w:rPr>
          <w:b/>
          <w:sz w:val="16"/>
          <w:szCs w:val="16"/>
        </w:rPr>
      </w:pPr>
    </w:p>
    <w:p w:rsidR="002111F8" w:rsidRPr="00567F7D" w:rsidRDefault="002111F8" w:rsidP="002111F8">
      <w:pPr>
        <w:ind w:firstLine="709"/>
        <w:jc w:val="both"/>
        <w:textAlignment w:val="baseline"/>
        <w:outlineLvl w:val="0"/>
        <w:rPr>
          <w:bCs/>
          <w:caps/>
          <w:kern w:val="36"/>
          <w:sz w:val="28"/>
          <w:szCs w:val="28"/>
        </w:rPr>
      </w:pPr>
      <w:r w:rsidRPr="00567F7D">
        <w:rPr>
          <w:sz w:val="28"/>
          <w:szCs w:val="28"/>
          <w:shd w:val="clear" w:color="auto" w:fill="FFFFFF"/>
        </w:rPr>
        <w:t>Деловые подарки и знаки делового гостеприимства являются общепринятым проявлением вежливости при формировании устойчивых деловых взаимоотношений.</w:t>
      </w:r>
    </w:p>
    <w:p w:rsidR="002111F8" w:rsidRPr="00567F7D" w:rsidRDefault="002111F8" w:rsidP="002111F8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567F7D">
        <w:rPr>
          <w:sz w:val="28"/>
          <w:szCs w:val="28"/>
        </w:rPr>
        <w:t>Однако отдельные деловые подарки и знаки делового гостеприимства могут оказать непосредственное или опосредованное влияние на принятие работниками предприятия решений или нарушить нормы действующего антикоррупционного законодательства.</w:t>
      </w:r>
    </w:p>
    <w:p w:rsidR="002111F8" w:rsidRPr="00567F7D" w:rsidRDefault="002111F8" w:rsidP="002111F8">
      <w:pPr>
        <w:ind w:firstLine="709"/>
        <w:jc w:val="both"/>
        <w:rPr>
          <w:sz w:val="28"/>
          <w:szCs w:val="28"/>
        </w:rPr>
      </w:pPr>
      <w:r w:rsidRPr="00567F7D">
        <w:rPr>
          <w:sz w:val="28"/>
          <w:szCs w:val="28"/>
        </w:rPr>
        <w:t xml:space="preserve">В соответствии со статьей 1 Федерального закона от 25.12.2008 №273-ФЗ «О противодействии коррупции» коррупция – это: </w:t>
      </w:r>
    </w:p>
    <w:p w:rsidR="002111F8" w:rsidRPr="00567F7D" w:rsidRDefault="002111F8" w:rsidP="002111F8">
      <w:pPr>
        <w:ind w:firstLine="709"/>
        <w:jc w:val="both"/>
        <w:rPr>
          <w:sz w:val="28"/>
          <w:szCs w:val="28"/>
        </w:rPr>
      </w:pPr>
      <w:r w:rsidRPr="00567F7D"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2111F8" w:rsidRPr="006A2518" w:rsidRDefault="002111F8" w:rsidP="002111F8">
      <w:pPr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б) совершение деяний, указанных в подпункте "а", от имени или в интересах юридического лица.</w:t>
      </w:r>
    </w:p>
    <w:p w:rsidR="002111F8" w:rsidRPr="006A2518" w:rsidRDefault="002111F8" w:rsidP="002111F8">
      <w:pPr>
        <w:ind w:firstLine="709"/>
        <w:jc w:val="both"/>
        <w:rPr>
          <w:sz w:val="28"/>
          <w:szCs w:val="28"/>
        </w:rPr>
      </w:pPr>
      <w:r w:rsidRPr="006A2518">
        <w:rPr>
          <w:bCs/>
          <w:sz w:val="28"/>
          <w:szCs w:val="28"/>
        </w:rPr>
        <w:t xml:space="preserve">В соответствии со статьей 13.3 вышеназванного Федерального закона организации </w:t>
      </w:r>
      <w:r w:rsidRPr="006A2518">
        <w:rPr>
          <w:sz w:val="28"/>
          <w:szCs w:val="28"/>
        </w:rPr>
        <w:t xml:space="preserve">обязаны разрабатывать и принимать меры по предупреждению коррупции, в том числе разрабатывать и внедрять в практику стандарты и процедуры, направленные на обеспечение добросовестной работы организации. </w:t>
      </w:r>
    </w:p>
    <w:p w:rsidR="002111F8" w:rsidRPr="006A2518" w:rsidRDefault="002111F8" w:rsidP="002111F8">
      <w:pPr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Одной из таких мер является разработка организациями правил обмена деловыми подарками и знаками делового гостеприимства, обязательных для соблюдения всеми работниками организации.</w:t>
      </w:r>
    </w:p>
    <w:p w:rsidR="002111F8" w:rsidRPr="006A2518" w:rsidRDefault="002111F8" w:rsidP="002111F8">
      <w:pPr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2111F8" w:rsidRPr="006A251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учитывать, что</w:t>
      </w:r>
      <w:r w:rsidRPr="006A251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A2518">
        <w:rPr>
          <w:sz w:val="28"/>
          <w:szCs w:val="28"/>
        </w:rPr>
        <w:t>еловые подарки, подлежащие дарению, и знаки делового гостеприимства должны:</w:t>
      </w:r>
    </w:p>
    <w:p w:rsidR="002111F8" w:rsidRPr="006A251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- соответствовать требованиям антикоррупционного законодательства Российской Федерации, Ханты-Мансийского автономного округа - Югры, локальных нормативных актов организации;</w:t>
      </w:r>
    </w:p>
    <w:p w:rsidR="002111F8" w:rsidRPr="006A251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- быть вручены и оказаны только от имени организации.</w:t>
      </w:r>
    </w:p>
    <w:p w:rsidR="002111F8" w:rsidRPr="006A251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2111F8" w:rsidRPr="006A251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 w:rsidRPr="006A2518">
        <w:rPr>
          <w:sz w:val="28"/>
          <w:szCs w:val="28"/>
        </w:rPr>
        <w:t>- представлять собой скрытое вознаграждение за услугу, действие или</w:t>
      </w:r>
      <w:r>
        <w:rPr>
          <w:sz w:val="28"/>
          <w:szCs w:val="28"/>
        </w:rPr>
        <w:t xml:space="preserve">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быть в форме наличных, безналичных денежных средств, ценных бумаг, драгоценных металлов;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риск для организации или ее работников.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муниципальных правовых актов, локальных нормативных актов организации.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в локальных нормативных актах организации, касающихся </w:t>
      </w:r>
      <w:r w:rsidRPr="006A2518">
        <w:rPr>
          <w:sz w:val="28"/>
          <w:szCs w:val="28"/>
        </w:rPr>
        <w:t>обмена деловыми подарками и знаками делового гостеприимства</w:t>
      </w:r>
      <w:r>
        <w:rPr>
          <w:sz w:val="28"/>
          <w:szCs w:val="28"/>
        </w:rPr>
        <w:t>, содержится указание на то, что работникам организации запрещается: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111F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2111F8" w:rsidRPr="001A76B8" w:rsidRDefault="002111F8" w:rsidP="002111F8">
      <w:pPr>
        <w:pStyle w:val="ConsPlusNormal"/>
        <w:ind w:firstLine="709"/>
        <w:jc w:val="both"/>
        <w:rPr>
          <w:sz w:val="28"/>
          <w:szCs w:val="28"/>
        </w:rPr>
      </w:pPr>
      <w:r w:rsidRPr="001A76B8">
        <w:rPr>
          <w:sz w:val="28"/>
          <w:szCs w:val="28"/>
        </w:rPr>
        <w:t xml:space="preserve">Кроме того, в правила обмена деловыми подарками и знаками делового гостеприимства целесообразно </w:t>
      </w:r>
      <w:r>
        <w:rPr>
          <w:sz w:val="28"/>
          <w:szCs w:val="28"/>
        </w:rPr>
        <w:t>включи</w:t>
      </w:r>
      <w:r w:rsidRPr="001A76B8">
        <w:rPr>
          <w:sz w:val="28"/>
          <w:szCs w:val="28"/>
        </w:rPr>
        <w:t>ть порядок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а также обозначить ответственность работников предприятия за не</w:t>
      </w:r>
      <w:r>
        <w:rPr>
          <w:sz w:val="28"/>
          <w:szCs w:val="28"/>
        </w:rPr>
        <w:t>соблюдение</w:t>
      </w:r>
      <w:r w:rsidRPr="001A76B8">
        <w:rPr>
          <w:sz w:val="28"/>
          <w:szCs w:val="28"/>
        </w:rPr>
        <w:t xml:space="preserve"> вышеназванных правил. </w:t>
      </w:r>
    </w:p>
    <w:p w:rsidR="002111F8" w:rsidRPr="001A76B8" w:rsidRDefault="002111F8" w:rsidP="002111F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6B8">
        <w:rPr>
          <w:sz w:val="28"/>
          <w:szCs w:val="28"/>
        </w:rPr>
        <w:t xml:space="preserve">Необходимо обратить внимание сотрудников организации на случаи </w:t>
      </w:r>
      <w:r w:rsidRPr="000663BF">
        <w:rPr>
          <w:sz w:val="28"/>
          <w:szCs w:val="28"/>
        </w:rPr>
        <w:t xml:space="preserve">запрещения дарения, установленные статьей 575 Гражданского кодекса Российской Федерации, в том числе на то, что не допускается дарение, за исключением обычных подарков, стоимость которых не превышает трех тысяч рублей, </w:t>
      </w:r>
      <w:r w:rsidRPr="001A76B8">
        <w:rPr>
          <w:sz w:val="28"/>
          <w:szCs w:val="28"/>
        </w:rPr>
        <w:t xml:space="preserve">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</w:t>
      </w:r>
      <w:r w:rsidRPr="000663BF">
        <w:rPr>
          <w:sz w:val="28"/>
          <w:szCs w:val="28"/>
        </w:rPr>
        <w:t xml:space="preserve">ием ими служебных обязанностей, а также </w:t>
      </w:r>
      <w:r w:rsidRPr="001A76B8">
        <w:rPr>
          <w:sz w:val="28"/>
          <w:szCs w:val="28"/>
        </w:rPr>
        <w:t xml:space="preserve">в отношениях между коммерческими организациями. </w:t>
      </w:r>
    </w:p>
    <w:p w:rsidR="002111F8" w:rsidRPr="000663BF" w:rsidRDefault="002111F8" w:rsidP="002111F8">
      <w:pPr>
        <w:ind w:firstLine="709"/>
        <w:jc w:val="both"/>
        <w:rPr>
          <w:sz w:val="28"/>
          <w:szCs w:val="28"/>
        </w:rPr>
      </w:pPr>
      <w:r w:rsidRPr="000663BF">
        <w:rPr>
          <w:sz w:val="28"/>
          <w:szCs w:val="28"/>
        </w:rPr>
        <w:t xml:space="preserve">Еще более жесткий запрет действует в отношении государственных и муниципальных служащих, которым в соответствии с действующим законодательством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</w:t>
      </w:r>
    </w:p>
    <w:p w:rsidR="002111F8" w:rsidRPr="000663BF" w:rsidRDefault="002111F8" w:rsidP="002111F8">
      <w:pPr>
        <w:ind w:firstLine="709"/>
        <w:jc w:val="both"/>
        <w:rPr>
          <w:sz w:val="28"/>
          <w:szCs w:val="28"/>
        </w:rPr>
      </w:pPr>
      <w:r w:rsidRPr="000663BF">
        <w:rPr>
          <w:sz w:val="28"/>
          <w:szCs w:val="28"/>
        </w:rPr>
        <w:t xml:space="preserve">В связи с этим сотрудникам организаций рекомендуется воздерживаться от предложения и попыток передачи государственным и муниципальным </w:t>
      </w:r>
      <w:r w:rsidRPr="000663BF">
        <w:rPr>
          <w:sz w:val="28"/>
          <w:szCs w:val="28"/>
        </w:rPr>
        <w:lastRenderedPageBreak/>
        <w:t xml:space="preserve">служащим любых подарков, включая подарки, стоимость которых составляет менее трех тысяч рублей. </w:t>
      </w:r>
    </w:p>
    <w:p w:rsidR="002111F8" w:rsidRDefault="002111F8" w:rsidP="002111F8">
      <w:pPr>
        <w:ind w:firstLine="709"/>
        <w:jc w:val="both"/>
        <w:rPr>
          <w:sz w:val="28"/>
          <w:szCs w:val="28"/>
        </w:rPr>
      </w:pPr>
      <w:r w:rsidRPr="000663BF">
        <w:rPr>
          <w:sz w:val="28"/>
          <w:szCs w:val="28"/>
        </w:rPr>
        <w:t xml:space="preserve">При этом следует учитывать, что в соответствии со статьей 19.28 КоАП РФ на организацию налагаются меры административной ответственности в форме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 </w:t>
      </w:r>
    </w:p>
    <w:p w:rsidR="00276DE9" w:rsidRDefault="00276DE9" w:rsidP="00211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статьями 291 и 291.1 Уголовного кодекса Российской Федерации за дачу взятки должностному лицу, а также за посредничество во взяточничестве предусмотрена уголовная ответственность.</w:t>
      </w:r>
    </w:p>
    <w:p w:rsidR="00D73773" w:rsidRPr="00A950E0" w:rsidRDefault="00D73773" w:rsidP="002111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50E0">
        <w:rPr>
          <w:sz w:val="28"/>
          <w:szCs w:val="28"/>
        </w:rPr>
        <w:t>В связи с вышеизложенным</w:t>
      </w:r>
      <w:r w:rsidR="00A950E0" w:rsidRPr="00A950E0">
        <w:rPr>
          <w:sz w:val="28"/>
          <w:szCs w:val="28"/>
        </w:rPr>
        <w:t>,</w:t>
      </w:r>
      <w:r w:rsidRPr="00A950E0">
        <w:rPr>
          <w:sz w:val="28"/>
          <w:szCs w:val="28"/>
        </w:rPr>
        <w:t xml:space="preserve"> организациями частного сектора внедряются антикоррупционные стандарты, </w:t>
      </w:r>
      <w:r w:rsidRPr="00A950E0">
        <w:rPr>
          <w:color w:val="000000"/>
          <w:sz w:val="28"/>
          <w:szCs w:val="28"/>
          <w:shd w:val="clear" w:color="auto" w:fill="FFFFFF"/>
        </w:rPr>
        <w:t xml:space="preserve">предусматривающие перечень мер, принимаемых </w:t>
      </w:r>
      <w:r w:rsidR="00A950E0" w:rsidRPr="00A950E0">
        <w:rPr>
          <w:color w:val="000000"/>
          <w:sz w:val="28"/>
          <w:szCs w:val="28"/>
          <w:shd w:val="clear" w:color="auto" w:fill="FFFFFF"/>
        </w:rPr>
        <w:t>в целях</w:t>
      </w:r>
      <w:r w:rsidRPr="00A950E0">
        <w:rPr>
          <w:color w:val="000000"/>
          <w:sz w:val="28"/>
          <w:szCs w:val="28"/>
          <w:shd w:val="clear" w:color="auto" w:fill="FFFFFF"/>
        </w:rPr>
        <w:t xml:space="preserve"> предупреждения коррупции</w:t>
      </w:r>
      <w:r w:rsidR="00A950E0" w:rsidRPr="00A950E0">
        <w:rPr>
          <w:color w:val="000000"/>
          <w:sz w:val="28"/>
          <w:szCs w:val="28"/>
          <w:shd w:val="clear" w:color="auto" w:fill="FFFFFF"/>
        </w:rPr>
        <w:t>.</w:t>
      </w:r>
    </w:p>
    <w:p w:rsidR="00A950E0" w:rsidRPr="00A950E0" w:rsidRDefault="00A950E0" w:rsidP="002111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50E0">
        <w:rPr>
          <w:color w:val="000000"/>
          <w:sz w:val="28"/>
          <w:szCs w:val="28"/>
          <w:shd w:val="clear" w:color="auto" w:fill="FFFFFF"/>
        </w:rPr>
        <w:t>Антикоррупционные меры включают в себя: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ответственных за профилактику коррупционных и иных правонарушений на предприятии;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сотрудничество с правоохранительными органами;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 работы;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принятие кодекса этики и служебного поведения работников;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предотвращение и урегулирование конфликта интересов;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Составными частями антикоррупционной политики определены: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понятия и определения;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принципы, цели и задачи;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круг лиц, подпадающих под действие стандарта;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параметры и обязанности работников частного сектора экономики;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конфликт интересов;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внутренний контроль;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типовое условие антикоррупционной оговорки;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принятие мер по предупреждению коррупции при взаимодействии с организациями-контрагентами и в зависимых организациях;</w:t>
      </w:r>
    </w:p>
    <w:p w:rsidR="00A950E0" w:rsidRPr="00A950E0" w:rsidRDefault="00A950E0" w:rsidP="00A95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взаимодействие с представителями государственных органов и правоохранительными органами в сфере противодействия коррупции;</w:t>
      </w:r>
    </w:p>
    <w:p w:rsidR="00A950E0" w:rsidRPr="00A950E0" w:rsidRDefault="00A950E0" w:rsidP="00963F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50E0">
        <w:rPr>
          <w:color w:val="000000"/>
          <w:sz w:val="28"/>
          <w:szCs w:val="28"/>
        </w:rPr>
        <w:t>- ответственность работников за нарушение стандарта.</w:t>
      </w:r>
    </w:p>
    <w:p w:rsidR="00963F63" w:rsidRPr="00963F63" w:rsidRDefault="00963F63" w:rsidP="00963F6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F63">
        <w:rPr>
          <w:sz w:val="28"/>
          <w:szCs w:val="28"/>
        </w:rPr>
        <w:t>Также действенной мерой по данному направлению является подготовка и распространение среди работников организаций частного сектора памяток и иных методических материалов, содержащих разъяснения по ключевым вопросам, к которым, в частности, относятся: уведомление о склонении к коррупции; типовые случаи конфликтов интересов и порядок их урегулирования; поведение, которое может быть воспринято как согласие принять взятку или как просьба о даче взятки,</w:t>
      </w:r>
    </w:p>
    <w:p w:rsidR="00963F63" w:rsidRPr="00963F63" w:rsidRDefault="00963F63" w:rsidP="00963F6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F63">
        <w:rPr>
          <w:sz w:val="28"/>
          <w:szCs w:val="28"/>
        </w:rPr>
        <w:lastRenderedPageBreak/>
        <w:t xml:space="preserve">Организации частного сектора также закрепляют в локальных правовых актах этические нормы поведения работников, процедуры и формы соблюдения работниками ограничений, запретов и обязанностей, установленных законодательством о противодействии коррупции. В отношении принятых внутренних правовых актов на регулярной основе проводятся обсуждения практики применения локальных правовых актов работниками организации. В ходе встреч обсуждаются, прежде всего, те трудности, с которыми работники сталкиваются на практике при реализации тех или иных положений правовых актов </w:t>
      </w:r>
    </w:p>
    <w:p w:rsidR="00963F63" w:rsidRPr="00963F63" w:rsidRDefault="00963F63" w:rsidP="00963F6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F63">
        <w:rPr>
          <w:sz w:val="28"/>
          <w:szCs w:val="28"/>
        </w:rP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правонарушениям.</w:t>
      </w:r>
    </w:p>
    <w:p w:rsidR="00963F63" w:rsidRPr="00963F63" w:rsidRDefault="00963F63" w:rsidP="00963F6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F63">
        <w:rPr>
          <w:sz w:val="28"/>
          <w:szCs w:val="28"/>
        </w:rPr>
        <w:t xml:space="preserve">Организациями также обеспечивается открытость их деятельности: в служебных помещениях, на официальном сайте размещаются информационные стенды с памятками антикоррупционного характера для работников; обеспечивается возможность беспрепятственного направления гражданином обращения в организацию (информация о работе «горячей линии», «телефона доверия», форма по отправке сообщений граждан и организаций через официальный сайт). </w:t>
      </w:r>
    </w:p>
    <w:p w:rsidR="00963F63" w:rsidRPr="00963F63" w:rsidRDefault="00963F63" w:rsidP="00963F63">
      <w:pPr>
        <w:ind w:firstLine="709"/>
        <w:jc w:val="both"/>
        <w:rPr>
          <w:sz w:val="28"/>
          <w:szCs w:val="28"/>
        </w:rPr>
      </w:pPr>
    </w:p>
    <w:p w:rsidR="00D73773" w:rsidRDefault="00D73773" w:rsidP="009447EC">
      <w:pPr>
        <w:tabs>
          <w:tab w:val="left" w:pos="851"/>
        </w:tabs>
        <w:jc w:val="both"/>
        <w:rPr>
          <w:sz w:val="16"/>
          <w:szCs w:val="16"/>
        </w:rPr>
      </w:pPr>
    </w:p>
    <w:p w:rsidR="00D73773" w:rsidRDefault="00D73773" w:rsidP="009447EC">
      <w:pPr>
        <w:tabs>
          <w:tab w:val="left" w:pos="851"/>
        </w:tabs>
        <w:jc w:val="both"/>
        <w:rPr>
          <w:sz w:val="16"/>
          <w:szCs w:val="16"/>
        </w:rPr>
      </w:pPr>
    </w:p>
    <w:p w:rsidR="00D73773" w:rsidRPr="006D07A8" w:rsidRDefault="00D73773" w:rsidP="00D7377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07A8">
        <w:rPr>
          <w:sz w:val="28"/>
          <w:szCs w:val="28"/>
        </w:rPr>
        <w:t>Управление по развитию промышленности и предпринимательства</w:t>
      </w:r>
    </w:p>
    <w:p w:rsidR="00D73773" w:rsidRPr="006D07A8" w:rsidRDefault="00D73773" w:rsidP="00D73773">
      <w:pPr>
        <w:ind w:firstLine="709"/>
        <w:jc w:val="right"/>
        <w:rPr>
          <w:sz w:val="28"/>
          <w:szCs w:val="28"/>
          <w:lang w:val="en-US"/>
        </w:rPr>
      </w:pPr>
      <w:r w:rsidRPr="006D07A8">
        <w:rPr>
          <w:sz w:val="28"/>
          <w:szCs w:val="28"/>
        </w:rPr>
        <w:t>департамента экономического развития администрации города</w:t>
      </w:r>
    </w:p>
    <w:p w:rsidR="00D73773" w:rsidRPr="00031C8A" w:rsidRDefault="00D73773" w:rsidP="009447EC">
      <w:pPr>
        <w:tabs>
          <w:tab w:val="left" w:pos="851"/>
        </w:tabs>
        <w:jc w:val="both"/>
        <w:rPr>
          <w:sz w:val="16"/>
          <w:szCs w:val="16"/>
        </w:rPr>
      </w:pPr>
    </w:p>
    <w:sectPr w:rsidR="00D73773" w:rsidRPr="00031C8A" w:rsidSect="00D20B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795"/>
    <w:multiLevelType w:val="multilevel"/>
    <w:tmpl w:val="DBD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895"/>
    <w:multiLevelType w:val="multilevel"/>
    <w:tmpl w:val="1842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1C8A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67119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4E1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11F8"/>
    <w:rsid w:val="00214A4D"/>
    <w:rsid w:val="002156E6"/>
    <w:rsid w:val="00217BB7"/>
    <w:rsid w:val="00217F6C"/>
    <w:rsid w:val="00221247"/>
    <w:rsid w:val="00223BC5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76DE9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463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24D"/>
    <w:rsid w:val="004B3435"/>
    <w:rsid w:val="004B39BF"/>
    <w:rsid w:val="004B424C"/>
    <w:rsid w:val="004B6F95"/>
    <w:rsid w:val="004C180E"/>
    <w:rsid w:val="004C5318"/>
    <w:rsid w:val="004C71FD"/>
    <w:rsid w:val="004D03E2"/>
    <w:rsid w:val="004D09A3"/>
    <w:rsid w:val="004D0A2A"/>
    <w:rsid w:val="004D0B35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2789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796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098B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47EC"/>
    <w:rsid w:val="00945CA1"/>
    <w:rsid w:val="00945FE9"/>
    <w:rsid w:val="00947F9E"/>
    <w:rsid w:val="00950B2D"/>
    <w:rsid w:val="0095273C"/>
    <w:rsid w:val="00961313"/>
    <w:rsid w:val="00963F6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5EA4"/>
    <w:rsid w:val="009A680F"/>
    <w:rsid w:val="009A6E13"/>
    <w:rsid w:val="009A7AB5"/>
    <w:rsid w:val="009A7B33"/>
    <w:rsid w:val="009B10D2"/>
    <w:rsid w:val="009B36A6"/>
    <w:rsid w:val="009B6971"/>
    <w:rsid w:val="009B6D45"/>
    <w:rsid w:val="009C00E3"/>
    <w:rsid w:val="009C0727"/>
    <w:rsid w:val="009C3633"/>
    <w:rsid w:val="009C44DA"/>
    <w:rsid w:val="009C63F3"/>
    <w:rsid w:val="009D12BC"/>
    <w:rsid w:val="009D19FE"/>
    <w:rsid w:val="009D1C0E"/>
    <w:rsid w:val="009D378F"/>
    <w:rsid w:val="009D5516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50E0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6AE4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0849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642C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50F"/>
    <w:rsid w:val="00D148FD"/>
    <w:rsid w:val="00D16D3E"/>
    <w:rsid w:val="00D20727"/>
    <w:rsid w:val="00D20B7C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3773"/>
    <w:rsid w:val="00D758A1"/>
    <w:rsid w:val="00D75980"/>
    <w:rsid w:val="00D77BE1"/>
    <w:rsid w:val="00D80564"/>
    <w:rsid w:val="00D8166D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9393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7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link w:val="8"/>
    <w:rsid w:val="005A1F2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semiHidden/>
    <w:rsid w:val="009447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2111F8"/>
    <w:rPr>
      <w:color w:val="0563C1" w:themeColor="hyperlink"/>
      <w:u w:val="single"/>
    </w:rPr>
  </w:style>
  <w:style w:type="paragraph" w:styleId="ac">
    <w:name w:val="Normal (Web)"/>
    <w:basedOn w:val="a"/>
    <w:unhideWhenUsed/>
    <w:rsid w:val="002111F8"/>
    <w:pPr>
      <w:spacing w:before="100" w:beforeAutospacing="1" w:after="100" w:afterAutospacing="1"/>
    </w:pPr>
  </w:style>
  <w:style w:type="paragraph" w:customStyle="1" w:styleId="ConsPlusNormal">
    <w:name w:val="ConsPlusNormal"/>
    <w:rsid w:val="002111F8"/>
    <w:pPr>
      <w:widowControl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130B-C38A-4018-A8C0-02D31B7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Глазырина Анна Александровна</cp:lastModifiedBy>
  <cp:revision>3</cp:revision>
  <cp:lastPrinted>2017-12-29T09:50:00Z</cp:lastPrinted>
  <dcterms:created xsi:type="dcterms:W3CDTF">2024-07-02T07:33:00Z</dcterms:created>
  <dcterms:modified xsi:type="dcterms:W3CDTF">2024-07-02T07:34:00Z</dcterms:modified>
</cp:coreProperties>
</file>