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jc w:val="center"/>
        <w:rPr>
          <w:color w:val="000000"/>
        </w:rPr>
      </w:pPr>
    </w:p>
    <w:p>
      <w:pPr>
        <w:contextualSpacing/>
        <w:jc w:val="center"/>
        <w:rPr>
          <w:sz w:val="10"/>
          <w:szCs w:val="10"/>
        </w:rPr>
      </w:pPr>
    </w:p>
    <w:tbl>
      <w:tblPr>
        <w:tblW w:w="4894" w:type="pct"/>
        <w:tblInd w:w="108" w:type="dxa"/>
        <w:tblBorders>
          <w:top w:val="single" w:color="auto" w:sz="4" w:space="0"/>
          <w:bottom w:val="single" w:color="auto" w:sz="4" w:space="0"/>
        </w:tblBorders>
        <w:tblLook w:val="00A0" w:firstRow="1" w:lastRow="0" w:firstColumn="1" w:lastColumn="0" w:noHBand="0" w:noVBand="0"/>
      </w:tblPr>
      <w:tblGrid>
        <w:gridCol w:w="9922"/>
      </w:tblGrid>
      <w:tr>
        <w:tc>
          <w:tcPr>
            <w:tcW w:w="5000" w:type="pct"/>
            <w:tcBorders>
              <w:top w:val="single" w:color="auto" w:sz="18" w:space="0"/>
              <w:bottom w:val="single" w:color="auto" w:sz="18" w:space="0"/>
            </w:tcBorders>
          </w:tcPr>
          <w:p>
            <w:pPr>
              <w:contextualSpacing/>
              <w:jc w:val="center"/>
              <w:rPr>
                <w:spacing w:val="-4"/>
                <w:sz w:val="20"/>
                <w:szCs w:val="20"/>
              </w:rPr>
            </w:pPr>
          </w:p>
          <w:p>
            <w:pPr>
              <w:contextualSpacing/>
              <w:jc w:val="center"/>
              <w:rPr>
                <w:b/>
                <w:spacing w:val="8"/>
              </w:rPr>
            </w:pPr>
            <w:r>
              <w:rPr>
                <w:b/>
                <w:spacing w:val="-4"/>
                <w:sz w:val="56"/>
                <w:szCs w:val="56"/>
              </w:rPr>
              <w:t xml:space="preserve">П Р О К У Р А Т У Р А </w:t>
            </w:r>
          </w:p>
          <w:p>
            <w:pPr>
              <w:contextualSpacing/>
              <w:jc w:val="center"/>
              <w:rPr>
                <w:b/>
                <w:color w:val="000000"/>
                <w:spacing w:val="8"/>
              </w:rPr>
            </w:pPr>
            <w:r>
              <w:rPr>
                <w:b/>
                <w:color w:val="000000"/>
                <w:spacing w:val="8"/>
              </w:rPr>
              <w:t xml:space="preserve">города </w:t>
            </w:r>
            <w:r>
              <w:rPr>
                <w:b/>
                <w:color w:val="000000"/>
                <w:spacing w:val="8"/>
              </w:rPr>
              <w:t xml:space="preserve">Нижневартовска</w:t>
            </w:r>
          </w:p>
          <w:p>
            <w:pPr>
              <w:contextualSpacing/>
              <w:jc w:val="center"/>
              <w:rPr>
                <w:sz w:val="20"/>
                <w:szCs w:val="20"/>
              </w:rPr>
            </w:pPr>
          </w:p>
        </w:tc>
      </w:tr>
    </w:tbl>
    <w:p>
      <w:pPr>
        <w:jc w:val="center"/>
        <w:rPr>
          <w:b/>
        </w:rPr>
      </w:pPr>
    </w:p>
    <w:p>
      <w:pPr>
        <w:shd w:val="clear" w:color="auto" w:fill="ffffff"/>
        <w:jc w:val="center"/>
        <w:rPr>
          <w:b/>
          <w:bCs/>
          <w:color w:val="000000" w:themeColor="text1"/>
        </w:rPr>
      </w:pPr>
    </w:p>
    <w:p>
      <w:pPr>
        <w:shd w:val="clear" w:color="auto" w:fill="ffffff"/>
        <w:jc w:val="center"/>
        <w:rPr>
          <w:b/>
          <w:bCs/>
          <w:color w:val="000000" w:themeColor="text1"/>
        </w:rPr>
      </w:pPr>
      <w:r>
        <w:rPr>
          <w:b/>
          <w:bCs/>
          <w:color w:val="000000" w:themeColor="text1"/>
        </w:rPr>
        <w:t xml:space="preserve">Уголовная ответственность за склон</w:t>
      </w:r>
      <w:r>
        <w:rPr>
          <w:b/>
          <w:bCs/>
          <w:color w:val="000000" w:themeColor="text1"/>
        </w:rPr>
        <w:t xml:space="preserve">ение к потреблению наркотиков с </w:t>
      </w:r>
      <w:r>
        <w:rPr>
          <w:b/>
          <w:bCs/>
          <w:color w:val="000000" w:themeColor="text1"/>
        </w:rPr>
        <w:t xml:space="preserve">использованием сети </w:t>
      </w:r>
      <w:r>
        <w:rPr>
          <w:b/>
          <w:bCs/>
          <w:color w:val="000000" w:themeColor="text1"/>
        </w:rPr>
        <w:t xml:space="preserve">- «</w:t>
      </w:r>
      <w:r>
        <w:rPr>
          <w:b/>
          <w:bCs/>
          <w:color w:val="000000" w:themeColor="text1"/>
        </w:rPr>
        <w:t xml:space="preserve">Интерне</w:t>
      </w:r>
      <w:r>
        <w:rPr>
          <w:b/>
          <w:bCs/>
          <w:color w:val="000000" w:themeColor="text1"/>
        </w:rPr>
        <w:t xml:space="preserve">т»</w:t>
      </w:r>
    </w:p>
    <w:p>
      <w:pPr>
        <w:shd w:val="clear" w:color="auto" w:fill="ffffff"/>
        <w:rPr>
          <w:color w:val="000000" w:themeColor="text1"/>
        </w:rPr>
      </w:pPr>
      <w:r>
        <w:rPr>
          <w:color w:val="000000" w:themeColor="text1"/>
        </w:rPr>
        <w:t xml:space="preserve"> </w:t>
      </w:r>
    </w:p>
    <w:p>
      <w:pPr>
        <w:shd w:val="clear" w:color="auto" w:fill="ffffff"/>
        <w:ind w:firstLine="709"/>
        <w:contextualSpacing/>
        <w:jc w:val="both"/>
        <w:rPr>
          <w:color w:val="000000" w:themeColor="text1"/>
          <w:shd w:val="clear" w:color="auto" w:fill="ffffff"/>
        </w:rPr>
      </w:pPr>
      <w:r>
        <w:rPr>
          <w:color w:val="000000" w:themeColor="text1"/>
          <w:shd w:val="clear" w:color="auto" w:fill="ffffff"/>
        </w:rPr>
        <w:t xml:space="preserve">Федеральным законом от 24.02.2020 № 25-ФЗ внесены изменения в Уголовный кодекс Российской Федерации в статью 230 Уголовного кодекса Российской Федерации и статью 151 Уголовно-процессуального кодекса Российской Федерации.</w:t>
      </w:r>
    </w:p>
    <w:p>
      <w:pPr>
        <w:ind w:firstLine="709"/>
        <w:jc w:val="both"/>
        <w:rPr>
          <w:color w:val="000000" w:themeColor="text1"/>
        </w:rPr>
      </w:pPr>
      <w:r>
        <w:rPr>
          <w:color w:val="000000" w:themeColor="text1"/>
        </w:rPr>
        <w:t xml:space="preserve">Склонение к потреблению наркотических средств, психотропных веществ или их аналогов (статья 230 УК РФ) может выражаться в любых умышленных действиях, в том числе однократного характера, направленных на возбуждение у другого лица желания их потребления (в уговорах, предложениях, даче совета и т.п.), а также в обмане, психическом или физическом насилии, ограничении свободы и других действиях, совершаемых с целью принуждения к потреблению наркотических средств, психотропных веществ или их аналогов лицом, на которое оказывается воздействие. При этом для признания преступления оконченным не</w:t>
      </w:r>
      <w:bookmarkStart w:id="0" w:name="_GoBack"/>
      <w:bookmarkEnd w:id="0"/>
      <w:r>
        <w:rPr>
          <w:color w:val="000000" w:themeColor="text1"/>
        </w:rPr>
        <w:t xml:space="preserve"> требуется, чтобы склоняемое лицо фактически употребило наркотическое средство, психотропное вещество или их аналог.</w:t>
      </w:r>
    </w:p>
    <w:p>
      <w:pPr>
        <w:shd w:val="clear" w:color="auto" w:fill="ffffff"/>
        <w:ind w:firstLine="709"/>
        <w:contextualSpacing/>
        <w:jc w:val="both"/>
        <w:rPr>
          <w:color w:val="000000" w:themeColor="text1"/>
        </w:rPr>
      </w:pPr>
      <w:r>
        <w:rPr>
          <w:color w:val="000000" w:themeColor="text1"/>
          <w:shd w:val="clear" w:color="auto" w:fill="ffffff"/>
        </w:rPr>
        <w:t xml:space="preserve">Так, ч</w:t>
      </w:r>
      <w:r>
        <w:rPr>
          <w:color w:val="000000" w:themeColor="text1"/>
          <w:shd w:val="clear" w:color="auto" w:fill="ffffff"/>
        </w:rPr>
        <w:t xml:space="preserve">асть вторая статьи 230 УК РФ, предусматривающая уголовную ответственность за склонение к потреблению наркотических средств, психотропных веществ или их аналогов, группой лиц по предварительному сговору или организованной группой, в отношении двух и более лиц, с применением насилия или угрозой его применения, дополнена подпунктом «д», устанавливающим уголовную ответственность за те же деяния, совершенные c использованием информационно-телекоммуникационных сетей (включая сеть «Интернет»).</w:t>
      </w:r>
    </w:p>
    <w:p>
      <w:pPr>
        <w:shd w:val="clear" w:color="auto" w:fill="ffffff"/>
        <w:ind w:firstLine="709"/>
        <w:contextualSpacing/>
        <w:jc w:val="both"/>
        <w:rPr>
          <w:color w:val="000000" w:themeColor="text1"/>
        </w:rPr>
      </w:pPr>
      <w:r>
        <w:rPr>
          <w:color w:val="000000" w:themeColor="text1"/>
          <w:shd w:val="clear" w:color="auto" w:fill="ffffff"/>
        </w:rPr>
        <w:t xml:space="preserve">Указанные деяния наказываются лишением свободы на срок от пяти до десяти лет с ограничением свободы на срок до двух лет либо без такового.</w:t>
      </w:r>
    </w:p>
    <w:p>
      <w:pPr>
        <w:shd w:val="clear" w:color="auto" w:fill="ffffff"/>
        <w:ind w:firstLine="709"/>
        <w:contextualSpacing/>
        <w:jc w:val="both"/>
        <w:rPr>
          <w:color w:val="000000" w:themeColor="text1"/>
        </w:rPr>
      </w:pPr>
      <w:r>
        <w:rPr>
          <w:color w:val="000000" w:themeColor="text1"/>
          <w:shd w:val="clear" w:color="auto" w:fill="ffffff"/>
        </w:rPr>
        <w:t xml:space="preserve">Кроме того, статья 230 УК РФ дополнена частью четвертой, устанавливающей уголовную ответственность за деяния, предусмотренные частями первой, второй, пунктом «а» части третьей данной статьи (склонение несовершеннолетнего), если они повлекли по неосторожности смерть двух или более потерпевших, и 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pPr>
        <w:shd w:val="clear" w:color="auto" w:fill="ffffff"/>
        <w:ind w:firstLine="709"/>
        <w:contextualSpacing/>
        <w:jc w:val="both"/>
        <w:rPr>
          <w:color w:val="000000" w:themeColor="text1"/>
        </w:rPr>
      </w:pPr>
      <w:r>
        <w:rPr>
          <w:color w:val="000000" w:themeColor="text1"/>
          <w:shd w:val="clear" w:color="auto" w:fill="ffffff"/>
        </w:rPr>
        <w:t xml:space="preserve">Расследование уголовных дел о преступлениях данной категории отнесено к подследственности следователей органов внутренних дел Российской Федерации.</w:t>
      </w:r>
    </w:p>
    <w:p>
      <w:pPr>
        <w:jc w:val="both"/>
        <w:rPr>
          <w:b/>
          <w:bCs/>
          <w:color w:val="000000" w:themeColor="text1"/>
        </w:rPr>
      </w:pPr>
    </w:p>
    <w:p>
      <w:pPr>
        <w:jc w:val="both"/>
        <w:rPr>
          <w:b/>
          <w:bCs/>
          <w:color w:val="000000" w:themeColor="text1"/>
        </w:rPr>
      </w:pPr>
    </w:p>
    <w:p>
      <w:pPr>
        <w:jc w:val="both"/>
        <w:rPr>
          <w:b/>
          <w:bCs/>
          <w:color w:val="000000" w:themeColor="text1"/>
        </w:rPr>
      </w:pPr>
    </w:p>
    <w:p>
      <w:pPr>
        <w:jc w:val="both"/>
      </w:pPr>
      <w:r>
        <w:t xml:space="preserve">Пресс-служба </w:t>
      </w:r>
    </w:p>
    <w:p>
      <w:pPr>
        <w:jc w:val="both"/>
      </w:pPr>
      <w:r>
        <w:t xml:space="preserve">Прокуратуры </w:t>
      </w:r>
      <w:r>
        <w:t xml:space="preserve">г. Нижневартовска</w:t>
      </w:r>
    </w:p>
    <w:p>
      <w:pPr>
        <w:jc w:val="both"/>
        <w:rPr>
          <w:b/>
          <w:sz w:val="20"/>
          <w:szCs w:val="20"/>
        </w:rPr>
      </w:pPr>
    </w:p>
    <w:p>
      <w:pPr>
        <w:jc w:val="both"/>
        <w:rPr>
          <w:b/>
          <w:color w:val="000000"/>
          <w:sz w:val="20"/>
          <w:szCs w:val="20"/>
        </w:rPr>
      </w:pPr>
      <w:r>
        <w:rPr>
          <w:b/>
          <w:sz w:val="20"/>
          <w:szCs w:val="20"/>
        </w:rPr>
        <w:t xml:space="preserve">При использовании указанной информации </w:t>
      </w:r>
      <w:r>
        <w:rPr>
          <w:b/>
          <w:color w:val="000000"/>
          <w:sz w:val="20"/>
          <w:szCs w:val="20"/>
        </w:rPr>
        <w:t xml:space="preserve">ссылка на прокуратуру города Нижневартовска является обязательной. При освещении информации в теле-, радиоэфирах необходимо направлять эфирные справки (количество эфиров с учетом повторов) по адресу прокуратуры города: ХМАО-Югра, г. Нижневартовск, ул. Мусы Джалиля, д. 14, 628602</w:t>
      </w:r>
    </w:p>
    <w:p>
      <w:pPr>
        <w:spacing w:line="240" w:lineRule="exact"/>
        <w:jc w:val="both"/>
        <w:rPr>
          <w:b/>
          <w:color w:val="000000"/>
        </w:rPr>
      </w:pPr>
    </w:p>
    <w:p>
      <w:pPr>
        <w:spacing w:line="240" w:lineRule="exact"/>
        <w:jc w:val="both"/>
        <w:rPr>
          <w:b/>
          <w:color w:val="000000"/>
        </w:rPr>
      </w:pPr>
    </w:p>
    <w:p>
      <w:pPr>
        <w:spacing w:line="240" w:lineRule="exact"/>
        <w:jc w:val="both"/>
        <w:rPr>
          <w:b/>
          <w:color w:val="000000"/>
        </w:rPr>
      </w:pPr>
    </w:p>
    <w:p>
      <w:pPr>
        <w:spacing w:line="240" w:lineRule="exact"/>
        <w:jc w:val="both"/>
        <w:rPr>
          <w:b/>
          <w:color w:val="000000"/>
        </w:rPr>
      </w:pPr>
      <w:r>
        <w:rPr>
          <w:b/>
          <w:color w:val="000000"/>
        </w:rPr>
        <w:t xml:space="preserve">СОГЛАСОВАНО:</w:t>
      </w:r>
    </w:p>
    <w:p>
      <w:pPr>
        <w:spacing w:line="240" w:lineRule="exact"/>
        <w:jc w:val="both"/>
        <w:rPr>
          <w:b/>
          <w:color w:val="000000"/>
          <w:sz w:val="20"/>
          <w:szCs w:val="20"/>
        </w:rPr>
      </w:pPr>
      <w:r>
        <w:rPr>
          <w:b/>
          <w:color w:val="000000"/>
          <w:sz w:val="20"/>
          <w:szCs w:val="20"/>
        </w:rPr>
        <w:t xml:space="preserve"> </w:t>
      </w:r>
    </w:p>
    <w:p>
      <w:pPr>
        <w:spacing w:line="240" w:lineRule="exact"/>
        <w:jc w:val="both"/>
        <w:rPr>
          <w:color w:val="000000"/>
        </w:rPr>
      </w:pPr>
      <w:r>
        <w:rPr>
          <w:color w:val="000000"/>
        </w:rPr>
        <w:t xml:space="preserve">И.о. п</w:t>
      </w:r>
      <w:r>
        <w:rPr>
          <w:color w:val="000000"/>
        </w:rPr>
        <w:t xml:space="preserve">рокурор</w:t>
      </w:r>
      <w:r>
        <w:rPr>
          <w:color w:val="000000"/>
        </w:rPr>
        <w:t xml:space="preserve">а</w:t>
      </w:r>
      <w:r>
        <w:rPr>
          <w:color w:val="000000"/>
        </w:rPr>
        <w:t xml:space="preserve"> города                                                   </w:t>
      </w:r>
      <w:r>
        <w:rPr>
          <w:color w:val="000000"/>
        </w:rPr>
        <w:t xml:space="preserve">                          Н.Н. Демянчук</w:t>
      </w:r>
    </w:p>
    <w:p>
      <w:pPr>
        <w:rPr>
          <w:sz w:val="24"/>
          <w:szCs w:val="24"/>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 xml:space="preserve">Д.О. Колосницын, тел. </w:t>
      </w:r>
      <w:r>
        <w:rPr>
          <w:sz w:val="20"/>
          <w:szCs w:val="20"/>
        </w:rPr>
        <w:t xml:space="preserve">49-89-19</w:t>
      </w:r>
    </w:p>
    <w:sectPr>
      <w:pgSz w:w="11906" w:h="16838"/>
      <w:pgMar w:top="56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2040502050405020303"/>
  </w:font>
  <w:font w:name="Segoe UI">
    <w:panose1 w:val="020B0502040504020204"/>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rPr>
      <w:rFonts w:ascii="Times New Roman" w:hAnsi="Times New Roman" w:eastAsia="Times New Roman"/>
      <w:sz w:val="28"/>
      <w:szCs w:val="28"/>
    </w:rPr>
  </w:style>
  <w:style w:type="paragraph" w:styleId="1">
    <w:name w:val="heading 1"/>
    <w:basedOn w:val="a"/>
    <w:link w:val="10"/>
    <w:uiPriority w:val="99"/>
    <w:qFormat/>
    <w:pPr>
      <w:spacing w:before="100" w:beforeAutospacing="1" w:after="100" w:afterAutospacing="1"/>
      <w:outlineLvl w:val="0"/>
    </w:pPr>
    <w:rPr>
      <w:b/>
      <w:bCs/>
      <w:sz w:val="48"/>
      <w:szCs w:val="4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link w:val="1"/>
    <w:uiPriority w:val="99"/>
    <w:locked/>
    <w:rPr>
      <w:rFonts w:ascii="Times New Roman" w:hAnsi="Times New Roman" w:cs="Times New Roman"/>
      <w:b/>
      <w:bCs/>
      <w:sz w:val="48"/>
      <w:szCs w:val="48"/>
      <w:lang w:eastAsia="ru-RU"/>
    </w:rPr>
  </w:style>
  <w:style w:type="paragraph" w:styleId="a3">
    <w:name w:val="Body Text Indent"/>
    <w:basedOn w:val="a"/>
    <w:link w:val="a4"/>
    <w:uiPriority w:val="99"/>
    <w:pPr>
      <w:ind w:firstLine="709"/>
      <w:jc w:val="both"/>
    </w:pPr>
    <w:rPr>
      <w:szCs w:val="20"/>
    </w:rPr>
  </w:style>
  <w:style w:type="character" w:styleId="a4" w:customStyle="1">
    <w:name w:val="Основной текст с отступом Знак"/>
    <w:link w:val="a3"/>
    <w:uiPriority w:val="99"/>
    <w:locked/>
    <w:rPr>
      <w:rFonts w:ascii="Times New Roman" w:hAnsi="Times New Roman" w:cs="Times New Roman"/>
      <w:sz w:val="20"/>
      <w:szCs w:val="20"/>
      <w:lang w:eastAsia="ru-RU"/>
    </w:rPr>
  </w:style>
  <w:style w:type="paragraph" w:styleId="a5">
    <w:name w:val="No Spacing"/>
    <w:uiPriority w:val="99"/>
    <w:qFormat/>
    <w:rPr>
      <w:rFonts w:eastAsia="Times New Roman"/>
      <w:sz w:val="22"/>
      <w:szCs w:val="22"/>
    </w:rPr>
  </w:style>
  <w:style w:type="paragraph" w:styleId="a6">
    <w:name w:val="Balloon Text"/>
    <w:basedOn w:val="a"/>
    <w:link w:val="a7"/>
    <w:uiPriority w:val="99"/>
    <w:semiHidden/>
    <w:rPr>
      <w:rFonts w:ascii="Segoe UI" w:hAnsi="Segoe UI" w:cs="Segoe UI"/>
      <w:sz w:val="18"/>
      <w:szCs w:val="18"/>
    </w:rPr>
  </w:style>
  <w:style w:type="character" w:styleId="a7" w:customStyle="1">
    <w:name w:val="Текст выноски Знак"/>
    <w:link w:val="a6"/>
    <w:uiPriority w:val="99"/>
    <w:semiHidden/>
    <w:locked/>
    <w:rPr>
      <w:rFonts w:ascii="Segoe UI" w:hAnsi="Segoe UI" w:cs="Segoe UI"/>
      <w:sz w:val="18"/>
      <w:szCs w:val="18"/>
      <w:lang w:eastAsia="ru-RU"/>
    </w:rPr>
  </w:style>
  <w:style w:type="paragraph" w:styleId="a8">
    <w:name w:val="Normal (Web)"/>
    <w:basedOn w:val="a"/>
    <w:uiPriority w:val="99"/>
    <w:pPr>
      <w:spacing w:before="100" w:beforeAutospacing="1" w:after="100" w:afterAutospacing="1"/>
    </w:pPr>
    <w:rPr>
      <w:sz w:val="24"/>
      <w:szCs w:val="24"/>
    </w:rPr>
  </w:style>
  <w:style w:type="table" w:styleId="a9">
    <w:name w:val="Table Grid"/>
    <w:basedOn w:val="a1"/>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a">
    <w:name w:val="Hyperlink"/>
    <w:uiPriority w:val="99"/>
    <w:semiHidden/>
    <w:rPr>
      <w:rFonts w:cs="Times New Roman"/>
      <w:color w:val="0000ff"/>
      <w:u w:val="single"/>
    </w:rPr>
  </w:style>
  <w:style w:type="paragraph" w:styleId="3">
    <w:name w:val="Body Text 3"/>
    <w:basedOn w:val="a"/>
    <w:link w:val="30"/>
    <w:uiPriority w:val="99"/>
    <w:pPr>
      <w:spacing w:after="120"/>
    </w:pPr>
    <w:rPr>
      <w:sz w:val="16"/>
      <w:szCs w:val="16"/>
    </w:rPr>
  </w:style>
  <w:style w:type="character" w:styleId="30" w:customStyle="1">
    <w:name w:val="Основной текст 3 Знак"/>
    <w:link w:val="3"/>
    <w:uiPriority w:val="99"/>
    <w:locked/>
    <w:rPr>
      <w:rFonts w:eastAsia="Times New Roman" w:cs="Times New Roman"/>
      <w:sz w:val="16"/>
      <w:szCs w:val="16"/>
      <w:lang w:val="ru-RU" w:eastAsia="ru-RU" w:bidi="ar-SA"/>
    </w:rPr>
  </w:style>
  <w:style w:type="character" w:styleId="ab" w:customStyle="1">
    <w:name w:val="Основной текст_"/>
    <w:link w:val="2"/>
    <w:uiPriority w:val="99"/>
    <w:locked/>
    <w:rPr>
      <w:rFonts w:ascii="Sylfaen" w:hAnsi="Sylfaen"/>
      <w:sz w:val="25"/>
    </w:rPr>
  </w:style>
  <w:style w:type="paragraph" w:styleId="2" w:customStyle="1">
    <w:name w:val="Основной текст2"/>
    <w:basedOn w:val="a"/>
    <w:link w:val="ab"/>
    <w:uiPriority w:val="99"/>
    <w:pPr>
      <w:shd w:val="clear" w:color="auto" w:fill="ffffff"/>
      <w:spacing w:line="245" w:lineRule="exact"/>
    </w:pPr>
    <w:rPr>
      <w:rFonts w:ascii="Sylfaen" w:hAnsi="Sylfaen" w:eastAsia="Calibri"/>
      <w:sz w:val="25"/>
      <w:szCs w:val="20"/>
    </w:rPr>
  </w:style>
  <w:style w:type="character" w:styleId="feeds-pagenavigationicon" w:customStyle="1">
    <w:name w:val="feeds-page__navigation_icon"/>
    <w:basedOn w:val="a0"/>
  </w:style>
  <w:style w:type="character" w:styleId="feeds-pagenavigationtooltip" w:customStyle="1">
    <w:name w:val="feeds-page__navigation_tooltip"/>
    <w:basedOn w:val="a0"/>
  </w:style>
  <w:style w:type="character" w:styleId="ac">
    <w:name w:val="Strong"/>
    <w:basedOn w:val="a0"/>
    <w:uiPriority w:val="22"/>
    <w:qFormat/>
    <w:locked/>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Characters>2559</Characters>
  <CharactersWithSpaces>3001</CharactersWithSpaces>
  <Company>Reanimator Extreme Edition</Company>
  <DocSecurity>0</DocSecurity>
  <HyperlinksChanged>false</HyperlinksChanged>
  <Lines>21</Lines>
  <LinksUpToDate>false</LinksUpToDate>
  <Pages>2</Pages>
  <Paragraphs>6</Paragraphs>
  <ScaleCrop>false</ScaleCrop>
  <SharedDoc>false</SharedDoc>
  <Template>Normal</Template>
  <TotalTime>239</TotalTime>
  <Words>448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bikmgr</dc:creator>
  <cp:keywords/>
  <dc:description/>
  <cp:lastModifiedBy>Колосницын Дмитрий Олегович</cp:lastModifiedBy>
  <cp:revision>28</cp:revision>
  <cp:lastPrinted>2024-05-27T09:25:00Z</cp:lastPrinted>
  <dcterms:created xsi:type="dcterms:W3CDTF">2024-04-14T21:32:00Z</dcterms:created>
  <dcterms:modified xsi:type="dcterms:W3CDTF">2024-11-26T12:45:00Z</dcterms:modified>
</cp:coreProperties>
</file>