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C" w:rsidRDefault="00F321C6" w:rsidP="00561F1C">
      <w:pPr>
        <w:pStyle w:val="2"/>
        <w:shd w:val="clear" w:color="auto" w:fill="auto"/>
        <w:spacing w:after="0"/>
        <w:ind w:right="238"/>
      </w:pPr>
      <w:r>
        <w:t xml:space="preserve">УТВЕРЖДЕНЫ решением Российской трехсторонней комиссии по регулированию социально-трудовых отношений от 26 марта 2021 г., </w:t>
      </w:r>
    </w:p>
    <w:p w:rsidR="0014434C" w:rsidRDefault="00F321C6">
      <w:pPr>
        <w:pStyle w:val="2"/>
        <w:shd w:val="clear" w:color="auto" w:fill="auto"/>
        <w:spacing w:after="3926"/>
        <w:ind w:right="240"/>
      </w:pPr>
      <w:r>
        <w:t>прото</w:t>
      </w:r>
      <w:bookmarkStart w:id="0" w:name="_GoBack"/>
      <w:bookmarkEnd w:id="0"/>
      <w:r>
        <w:t xml:space="preserve">кол № </w:t>
      </w:r>
      <w:r w:rsidR="00561F1C">
        <w:t>2</w:t>
      </w:r>
    </w:p>
    <w:p w:rsidR="00631863" w:rsidRDefault="00F321C6" w:rsidP="00631863">
      <w:pPr>
        <w:pStyle w:val="21"/>
        <w:shd w:val="clear" w:color="auto" w:fill="auto"/>
        <w:spacing w:before="0" w:after="5604"/>
        <w:ind w:left="20"/>
        <w:rPr>
          <w:sz w:val="26"/>
          <w:szCs w:val="26"/>
        </w:rPr>
      </w:pPr>
      <w:r>
        <w:t xml:space="preserve">Рекомендации Российской трехсторонней комиссии по регулированию социально-трудовых отношений сторонам социального </w:t>
      </w:r>
      <w:r>
        <w:t>партнерства по организации дистанционной (удаленной) работы и по определению категорий работников, в приоритетном порядке временно переводимых на дистанционную (удаленную) работу по инициативе работодателя в исключительных случаях</w:t>
      </w:r>
    </w:p>
    <w:p w:rsidR="00631863" w:rsidRDefault="00631863">
      <w:pPr>
        <w:pStyle w:val="2"/>
        <w:shd w:val="clear" w:color="auto" w:fill="auto"/>
        <w:spacing w:after="0" w:line="260" w:lineRule="exact"/>
        <w:ind w:left="20"/>
      </w:pPr>
    </w:p>
    <w:p w:rsidR="00631863" w:rsidRDefault="00631863">
      <w:pPr>
        <w:pStyle w:val="2"/>
        <w:shd w:val="clear" w:color="auto" w:fill="auto"/>
        <w:spacing w:after="0" w:line="260" w:lineRule="exact"/>
        <w:ind w:left="20"/>
      </w:pPr>
    </w:p>
    <w:p w:rsidR="00631863" w:rsidRDefault="00631863">
      <w:pPr>
        <w:pStyle w:val="2"/>
        <w:shd w:val="clear" w:color="auto" w:fill="auto"/>
        <w:spacing w:after="0" w:line="260" w:lineRule="exact"/>
        <w:ind w:left="20"/>
      </w:pPr>
    </w:p>
    <w:p w:rsidR="00631863" w:rsidRDefault="00631863">
      <w:pPr>
        <w:pStyle w:val="2"/>
        <w:shd w:val="clear" w:color="auto" w:fill="auto"/>
        <w:spacing w:after="0" w:line="260" w:lineRule="exact"/>
        <w:ind w:left="20"/>
      </w:pPr>
    </w:p>
    <w:p w:rsidR="0014434C" w:rsidRDefault="00F321C6">
      <w:pPr>
        <w:pStyle w:val="2"/>
        <w:shd w:val="clear" w:color="auto" w:fill="auto"/>
        <w:spacing w:after="0" w:line="260" w:lineRule="exact"/>
        <w:ind w:left="20"/>
      </w:pPr>
      <w:r>
        <w:t>М</w:t>
      </w:r>
      <w:r>
        <w:t>осква, 2021 год</w:t>
      </w:r>
    </w:p>
    <w:p w:rsidR="00631863" w:rsidRDefault="00631863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4434C" w:rsidRPr="00D40E25" w:rsidRDefault="00F321C6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lastRenderedPageBreak/>
        <w:t>В</w:t>
      </w:r>
      <w:r w:rsidRPr="00D40E25">
        <w:rPr>
          <w:sz w:val="28"/>
          <w:szCs w:val="28"/>
        </w:rPr>
        <w:t xml:space="preserve"> целях </w:t>
      </w:r>
      <w:r w:rsidRPr="00D40E25">
        <w:rPr>
          <w:sz w:val="28"/>
          <w:szCs w:val="28"/>
        </w:rPr>
        <w:t xml:space="preserve">реализации абзаца третьего пункта 3 Постановления Государственной Думы Федерального Собрания Российской Федерации от 26 ноября 2020 г. № 9238-7 Российская трехсторонняя комиссия по регулированию социально-трудовых отношений предлагает сторонам социального </w:t>
      </w:r>
      <w:r w:rsidRPr="00D40E25">
        <w:rPr>
          <w:sz w:val="28"/>
          <w:szCs w:val="28"/>
        </w:rPr>
        <w:t>партнерства на соответствующих уровнях учитывать следующие рекомендации.</w:t>
      </w:r>
    </w:p>
    <w:p w:rsidR="0014434C" w:rsidRPr="00D40E25" w:rsidRDefault="000D2B5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>В</w:t>
      </w:r>
      <w:r w:rsidR="00F321C6" w:rsidRPr="00D40E25">
        <w:rPr>
          <w:sz w:val="28"/>
          <w:szCs w:val="28"/>
        </w:rPr>
        <w:t>опросы организации постоянной дистанционной (удаленной) работы (в течение срока действия трудового договора), временной дистанционной (удаленной) работы (до 6 месяцев), периодической</w:t>
      </w:r>
      <w:r w:rsidR="00F321C6" w:rsidRPr="00D40E25">
        <w:rPr>
          <w:sz w:val="28"/>
          <w:szCs w:val="28"/>
        </w:rPr>
        <w:t xml:space="preserve"> дистанционной (удаленной) работы (чередование периодов выполнения работником трудовой функции дистанционно с выполнением трудовых функций на рабочем месте) (далее - дистанционная работа) регулируется в организациях в соответствии с Трудовым кодексом Росси</w:t>
      </w:r>
      <w:r w:rsidR="00F321C6" w:rsidRPr="00D40E25">
        <w:rPr>
          <w:sz w:val="28"/>
          <w:szCs w:val="28"/>
        </w:rPr>
        <w:t>йской Федерации коллективными договорами, локальными нормативными актами, принимаемыми с учетом мнения выборного органа первичной профсоюзной организации, трудовыми договорами.</w:t>
      </w:r>
    </w:p>
    <w:p w:rsidR="0014434C" w:rsidRPr="00D40E25" w:rsidRDefault="00F321C6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>Вопросы организации временного перевода работников на дистанционную работу по и</w:t>
      </w:r>
      <w:r w:rsidRPr="00D40E25">
        <w:rPr>
          <w:sz w:val="28"/>
          <w:szCs w:val="28"/>
        </w:rPr>
        <w:t>нициативе работодателя в исключительных случаях регламентируются в локальных нормативных актах, принимаемых с учетом мнения выборного органа первичной профсоюзной организации.</w:t>
      </w:r>
    </w:p>
    <w:p w:rsidR="0014434C" w:rsidRPr="00D40E25" w:rsidRDefault="00F321C6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>Организацию дистанционной работы (кроме дистанционной работы по инициативе работ</w:t>
      </w:r>
      <w:r w:rsidRPr="00D40E25">
        <w:rPr>
          <w:sz w:val="28"/>
          <w:szCs w:val="28"/>
        </w:rPr>
        <w:t>одателя в исключительных случаях) рекомендуется осуществлять с учетом специфики деятельности работников путем отражения в коллективном договоре, локальном нормативном акте (актах), принимаемом с учетом мнения выборного органа первичной профсоюзной организа</w:t>
      </w:r>
      <w:r w:rsidRPr="00D40E25">
        <w:rPr>
          <w:sz w:val="28"/>
          <w:szCs w:val="28"/>
        </w:rPr>
        <w:t>ции, в трудовом договоре, дополнительном соглашении к трудовому договору следующих положений: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порядка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</w:t>
      </w:r>
      <w:r w:rsidR="00F321C6" w:rsidRPr="00D40E25">
        <w:rPr>
          <w:sz w:val="28"/>
          <w:szCs w:val="28"/>
        </w:rPr>
        <w:t>нной работе по запросам работодателя,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сроков подтверждения получения электронного документа от другой стороны;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 xml:space="preserve">порядка подтверждения действий дистанционного работника и работодателя, связанных с предоставлением друг другу информации, если они осуществляют </w:t>
      </w:r>
      <w:r w:rsidR="00F321C6" w:rsidRPr="00D40E25">
        <w:rPr>
          <w:sz w:val="28"/>
          <w:szCs w:val="28"/>
        </w:rPr>
        <w:t>взаимодействие в иной форме;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формы подачи работником работодателю заявлений (в письменной или электронной форме и др.), предусмотренных Трудовым кодексом Российской Федерации, осуществления ознакомления работника с документами, в отношении которых трудовым</w:t>
      </w:r>
      <w:r w:rsidR="00F321C6" w:rsidRPr="00D40E25">
        <w:rPr>
          <w:sz w:val="28"/>
          <w:szCs w:val="28"/>
        </w:rPr>
        <w:t xml:space="preserve"> законодательством предусмотрено ознакомление под роспись;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режима рабочего времени и времени отдыха дистанционного работника;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условий и порядка вызова работодателем дистанционного работника на стационарное рабочее место или выхода на работу такого работник</w:t>
      </w:r>
      <w:r w:rsidR="00F321C6" w:rsidRPr="00D40E25">
        <w:rPr>
          <w:sz w:val="28"/>
          <w:szCs w:val="28"/>
        </w:rPr>
        <w:t>а по своей инициативе (за исключением дистанционной работы в соответствии со статьей 312.9. Трудового кодекса Российской Федерации);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 xml:space="preserve">порядка предоставления ежегодного оплачиваемого отпуска и иных видов отпусков работникам, выполняющим дистанционную работу </w:t>
      </w:r>
      <w:r w:rsidR="00F321C6" w:rsidRPr="00D40E25">
        <w:rPr>
          <w:sz w:val="28"/>
          <w:szCs w:val="28"/>
        </w:rPr>
        <w:t xml:space="preserve">на </w:t>
      </w:r>
      <w:r w:rsidR="00F321C6" w:rsidRPr="00D40E25">
        <w:rPr>
          <w:sz w:val="28"/>
          <w:szCs w:val="28"/>
        </w:rPr>
        <w:lastRenderedPageBreak/>
        <w:t>постоянной основе;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обеспечения работника необходимым оборудованием, программно</w:t>
      </w:r>
      <w:r w:rsidR="00F321C6" w:rsidRPr="00D40E25">
        <w:rPr>
          <w:sz w:val="28"/>
          <w:szCs w:val="28"/>
        </w:rPr>
        <w:softHyphen/>
        <w:t>техническими средствами, средствами защиты и иными материально</w:t>
      </w:r>
      <w:r w:rsidR="00F321C6" w:rsidRPr="00D40E25">
        <w:rPr>
          <w:sz w:val="28"/>
          <w:szCs w:val="28"/>
        </w:rPr>
        <w:softHyphen/>
      </w:r>
      <w:r w:rsidR="00631863" w:rsidRPr="00D40E25">
        <w:rPr>
          <w:sz w:val="28"/>
          <w:szCs w:val="28"/>
        </w:rPr>
        <w:t>-</w:t>
      </w:r>
      <w:r w:rsidR="00F321C6" w:rsidRPr="00D40E25">
        <w:rPr>
          <w:sz w:val="28"/>
          <w:szCs w:val="28"/>
        </w:rPr>
        <w:t>техническими средствами, необходимыми работнику для выполнения своей трудовой функции;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порядка, сроков и размер</w:t>
      </w:r>
      <w:r w:rsidR="00F321C6" w:rsidRPr="00D40E25">
        <w:rPr>
          <w:sz w:val="28"/>
          <w:szCs w:val="28"/>
        </w:rPr>
        <w:t>ов компенсации дистанционному работнику расходов за использование принадлежащих ему или арендованных им оборудования, программно-технических средств, средств защиты информации и иных средств (если работник использует данные средства с согласия или ведома р</w:t>
      </w:r>
      <w:r w:rsidR="00F321C6" w:rsidRPr="00D40E25">
        <w:rPr>
          <w:sz w:val="28"/>
          <w:szCs w:val="28"/>
        </w:rPr>
        <w:t>аботодателя и в его интересах);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порядка ознакомления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распространения дополнительных гарантий, предусмотренных</w:t>
      </w:r>
      <w:r w:rsidR="00F321C6" w:rsidRPr="00D40E25">
        <w:rPr>
          <w:sz w:val="28"/>
          <w:szCs w:val="28"/>
        </w:rPr>
        <w:t xml:space="preserve"> коллективным договором и (или) локальным нормативным актом работодателя, на дистанционных работников с учетом особенностей их работы;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иных положений, связанных с организацией дистанционной работы (при необходимости).</w:t>
      </w:r>
      <w:r w:rsidR="00631863" w:rsidRPr="00D40E25">
        <w:rPr>
          <w:sz w:val="28"/>
          <w:szCs w:val="28"/>
        </w:rPr>
        <w:t xml:space="preserve"> </w:t>
      </w:r>
      <w:r w:rsidR="00F321C6" w:rsidRPr="00D40E25">
        <w:rPr>
          <w:sz w:val="28"/>
          <w:szCs w:val="28"/>
        </w:rPr>
        <w:t xml:space="preserve">В исключительных случаях, ставящих под </w:t>
      </w:r>
      <w:r w:rsidR="00F321C6" w:rsidRPr="00D40E25">
        <w:rPr>
          <w:sz w:val="28"/>
          <w:szCs w:val="28"/>
        </w:rPr>
        <w:t>угрозу жизнь или нормальные жизненные условия всего населения или его части, при осуществлении перевода на временную дистанционную работу по инициативе работодателя, работодатель с учетом фактической возможности работников и работодателя и решений, приняты</w:t>
      </w:r>
      <w:r w:rsidR="00F321C6" w:rsidRPr="00D40E25">
        <w:rPr>
          <w:sz w:val="28"/>
          <w:szCs w:val="28"/>
        </w:rPr>
        <w:t>х органом государственной власти и (или) органом местного самоуправления, может установить категории работников, имеющих приоритетное право на перевод на временную дистанционную работу.</w:t>
      </w:r>
    </w:p>
    <w:p w:rsidR="0014434C" w:rsidRPr="00D40E25" w:rsidRDefault="00F321C6">
      <w:pPr>
        <w:pStyle w:val="2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>Например, к ним можно отнести:</w:t>
      </w:r>
    </w:p>
    <w:p w:rsidR="00631863" w:rsidRPr="00D40E25" w:rsidRDefault="00561F1C">
      <w:pPr>
        <w:pStyle w:val="2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 xml:space="preserve">работников, рабочие места которых </w:t>
      </w:r>
      <w:r w:rsidR="00F321C6" w:rsidRPr="00D40E25">
        <w:rPr>
          <w:sz w:val="28"/>
          <w:szCs w:val="28"/>
        </w:rPr>
        <w:t>находятся в зоне непосредственной</w:t>
      </w:r>
      <w:r w:rsidR="00631863" w:rsidRPr="00D40E25">
        <w:rPr>
          <w:sz w:val="28"/>
          <w:szCs w:val="28"/>
        </w:rPr>
        <w:t xml:space="preserve"> </w:t>
      </w:r>
      <w:r w:rsidR="00F321C6" w:rsidRPr="00D40E25">
        <w:rPr>
          <w:sz w:val="28"/>
          <w:szCs w:val="28"/>
        </w:rPr>
        <w:t xml:space="preserve">угрозы для их жизни и здоровья; 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беременных женщин;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работающих пенсионеров и работников, имеющих хронические заболевания;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работников (родителей, опекунов, попечителей, приемных родителей), имею</w:t>
      </w:r>
      <w:r w:rsidR="00F321C6" w:rsidRPr="00D40E25">
        <w:rPr>
          <w:rStyle w:val="1"/>
          <w:sz w:val="28"/>
          <w:szCs w:val="28"/>
          <w:u w:val="none"/>
        </w:rPr>
        <w:t>щи</w:t>
      </w:r>
      <w:r w:rsidR="00F321C6" w:rsidRPr="00D40E25">
        <w:rPr>
          <w:sz w:val="28"/>
          <w:szCs w:val="28"/>
        </w:rPr>
        <w:t>х детей в возрасте до 14 лет</w:t>
      </w:r>
      <w:r w:rsidR="00F321C6" w:rsidRPr="00D40E25">
        <w:rPr>
          <w:sz w:val="28"/>
          <w:szCs w:val="28"/>
        </w:rPr>
        <w:t>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работников, осуществляющих уход за инвалидами или длительно болеющими членами семьи, которые по состоянию здоровья нуждаются в уходе;</w:t>
      </w:r>
    </w:p>
    <w:p w:rsidR="0014434C" w:rsidRPr="00D40E25" w:rsidRDefault="00561F1C">
      <w:pPr>
        <w:pStyle w:val="2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инвалидов;</w:t>
      </w:r>
    </w:p>
    <w:p w:rsidR="0014434C" w:rsidRPr="00D40E25" w:rsidRDefault="00561F1C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 xml:space="preserve">- </w:t>
      </w:r>
      <w:r w:rsidR="00F321C6" w:rsidRPr="00D40E25">
        <w:rPr>
          <w:sz w:val="28"/>
          <w:szCs w:val="28"/>
        </w:rPr>
        <w:t>других работников, предусмотренных коллективным договором, локальным нормативным актом, трудовым договором.</w:t>
      </w:r>
    </w:p>
    <w:p w:rsidR="0014434C" w:rsidRPr="00D40E25" w:rsidRDefault="00F321C6">
      <w:pPr>
        <w:pStyle w:val="2"/>
        <w:shd w:val="clear" w:color="auto" w:fill="auto"/>
        <w:spacing w:after="0"/>
        <w:ind w:left="20" w:right="20" w:firstLine="540"/>
        <w:jc w:val="both"/>
        <w:rPr>
          <w:sz w:val="28"/>
          <w:szCs w:val="28"/>
        </w:rPr>
      </w:pPr>
      <w:r w:rsidRPr="00D40E25">
        <w:rPr>
          <w:sz w:val="28"/>
          <w:szCs w:val="28"/>
        </w:rPr>
        <w:t>С</w:t>
      </w:r>
      <w:r w:rsidRPr="00D40E25">
        <w:rPr>
          <w:sz w:val="28"/>
          <w:szCs w:val="28"/>
        </w:rPr>
        <w:t>торонам социального партнерства на отраслевом, региональном и муниципальном уровнях рекомендуется проводить анализ и обобщение правоприменительной практики организации дистанционной работы.</w:t>
      </w:r>
    </w:p>
    <w:sectPr w:rsidR="0014434C" w:rsidRPr="00D40E25" w:rsidSect="00D40E25">
      <w:headerReference w:type="default" r:id="rId6"/>
      <w:type w:val="continuous"/>
      <w:pgSz w:w="11909" w:h="16838"/>
      <w:pgMar w:top="1308" w:right="852" w:bottom="775" w:left="12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C6" w:rsidRDefault="00F321C6">
      <w:r>
        <w:separator/>
      </w:r>
    </w:p>
  </w:endnote>
  <w:endnote w:type="continuationSeparator" w:id="0">
    <w:p w:rsidR="00F321C6" w:rsidRDefault="00F3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C6" w:rsidRDefault="00F321C6"/>
  </w:footnote>
  <w:footnote w:type="continuationSeparator" w:id="0">
    <w:p w:rsidR="00F321C6" w:rsidRDefault="00F32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4C" w:rsidRDefault="00F321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3pt;margin-top:37.8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4434C" w:rsidRDefault="00F321C6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40E25" w:rsidRPr="00D40E25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434C"/>
    <w:rsid w:val="000D2B5C"/>
    <w:rsid w:val="0014434C"/>
    <w:rsid w:val="00561F1C"/>
    <w:rsid w:val="00631863"/>
    <w:rsid w:val="00D40E25"/>
    <w:rsid w:val="00F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0DE94E"/>
  <w15:docId w15:val="{75CE19F9-B889-44FA-A683-1EFA9AE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9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960" w:after="552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doctext0004687371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doctext0004687371</dc:title>
  <dc:subject/>
  <dc:creator>deloadmin</dc:creator>
  <cp:keywords/>
  <cp:lastModifiedBy>Сорокина Анастасия Викторовна</cp:lastModifiedBy>
  <cp:revision>3</cp:revision>
  <dcterms:created xsi:type="dcterms:W3CDTF">2021-04-12T06:35:00Z</dcterms:created>
  <dcterms:modified xsi:type="dcterms:W3CDTF">2021-04-12T09:53:00Z</dcterms:modified>
</cp:coreProperties>
</file>