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highlight w:val="none"/>
        </w:rPr>
      </w:pPr>
      <w:r>
        <w:rPr>
          <w:highlight w:val="none"/>
        </w:rPr>
        <w:t xml:space="preserve">Утвержден пунктом 5.3 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  <w:t xml:space="preserve">протокол</w:t>
      </w:r>
      <w:r>
        <w:rPr>
          <w:highlight w:val="none"/>
        </w:rPr>
        <w:t xml:space="preserve">а</w:t>
      </w:r>
      <w:r>
        <w:rPr>
          <w:highlight w:val="none"/>
        </w:rPr>
        <w:t xml:space="preserve"> заседания Антинаркотической 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highlight w:val="none"/>
        </w:rPr>
        <w:t xml:space="preserve">комиссии города от 13.12.2024 №4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center"/>
      </w:pPr>
      <w:r>
        <w:rPr>
          <w:b/>
          <w:sz w:val="28"/>
          <w:szCs w:val="28"/>
        </w:rPr>
      </w:r>
      <w:r/>
      <w:r/>
    </w:p>
    <w:p>
      <w:pPr>
        <w:jc w:val="center"/>
      </w:pPr>
      <w:r>
        <w:rPr>
          <w:b/>
          <w:sz w:val="28"/>
          <w:szCs w:val="28"/>
          <w:highlight w:val="none"/>
        </w:rPr>
        <w:t xml:space="preserve">ПЛАН</w:t>
      </w:r>
      <w:r/>
      <w:r/>
    </w:p>
    <w:p>
      <w:pPr>
        <w:jc w:val="center"/>
      </w:pPr>
      <w:r>
        <w:rPr>
          <w:b/>
          <w:sz w:val="28"/>
          <w:szCs w:val="28"/>
          <w:highlight w:val="none"/>
        </w:rPr>
        <w:t xml:space="preserve"> работы Антинаркотической комиссии</w:t>
      </w:r>
      <w:r>
        <w:rPr>
          <w:b/>
          <w:bCs/>
          <w:sz w:val="28"/>
          <w:szCs w:val="28"/>
          <w:highlight w:val="none"/>
        </w:rPr>
        <w:t xml:space="preserve"> города Нижневартовска </w:t>
      </w:r>
      <w:r/>
      <w:r/>
    </w:p>
    <w:p>
      <w:pPr>
        <w:jc w:val="center"/>
      </w:pPr>
      <w:r>
        <w:rPr>
          <w:b/>
          <w:bCs/>
          <w:sz w:val="28"/>
          <w:szCs w:val="28"/>
          <w:highlight w:val="none"/>
        </w:rPr>
        <w:t xml:space="preserve">на 20</w:t>
      </w:r>
      <w:r>
        <w:rPr>
          <w:b/>
          <w:bCs/>
          <w:sz w:val="28"/>
          <w:szCs w:val="28"/>
          <w:highlight w:val="none"/>
        </w:rPr>
        <w:t xml:space="preserve">25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год</w:t>
      </w:r>
      <w:r/>
      <w:r/>
    </w:p>
    <w:p>
      <w:pPr>
        <w:jc w:val="center"/>
      </w:pPr>
      <w:r>
        <w:rPr>
          <w:b/>
          <w:sz w:val="28"/>
          <w:szCs w:val="28"/>
          <w:highlight w:val="none"/>
        </w:rPr>
      </w:r>
      <w:r/>
      <w:r/>
    </w:p>
    <w:tbl>
      <w:tblPr>
        <w:tblW w:w="1465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24"/>
        <w:gridCol w:w="5574"/>
        <w:gridCol w:w="2136"/>
      </w:tblGrid>
      <w:tr>
        <w:trPr/>
        <w:tc>
          <w:tcPr>
            <w:gridSpan w:val="4"/>
            <w:tcW w:w="14651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1. Вопросы для рассмотрения на заседаниях Антинаркотической комиссии</w:t>
            </w:r>
            <w:r>
              <w:rPr>
                <w:bCs/>
                <w:highlight w:val="none"/>
              </w:rPr>
            </w:r>
            <w:r/>
          </w:p>
        </w:tc>
      </w:tr>
      <w:tr>
        <w:trPr>
          <w:trHeight w:val="608"/>
        </w:trPr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b/>
                <w:sz w:val="28"/>
                <w:szCs w:val="28"/>
                <w:highlight w:val="none"/>
              </w:rPr>
              <w:t xml:space="preserve">№</w:t>
            </w:r>
            <w:r/>
            <w:r/>
          </w:p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п/п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Вопросы повестки заседания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b/>
                <w:sz w:val="28"/>
                <w:szCs w:val="28"/>
                <w:highlight w:val="none"/>
              </w:rPr>
              <w:t xml:space="preserve">Докладчики </w:t>
            </w:r>
            <w:r/>
            <w:r/>
          </w:p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(наименование структурного подразделения,  ведомства)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b/>
                <w:sz w:val="28"/>
                <w:szCs w:val="28"/>
                <w:highlight w:val="none"/>
              </w:rPr>
              <w:t xml:space="preserve">Срок рассмотрения</w:t>
            </w:r>
            <w:r/>
            <w:r/>
          </w:p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Cs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О результатах работы правоохранительных органов по противодействию незаконному обороту наркотических средств и психотропных веществ на территории города Нижневартовска по итогам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 года в сравнении с аналогичным периодом прошлого года и задачах по повышению ее эффективности на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 год.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Министерства внутренних дел 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Российской Федерации 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по городу Нижневартовску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1 квартал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О динамике медицинских показателей наркоситуации в городе Нижневартовске по итогам 202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года.</w:t>
            </w:r>
            <w:r/>
            <w:r/>
          </w:p>
          <w:p>
            <w:pPr>
              <w:pStyle w:val="903"/>
              <w:jc w:val="both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Бюджетное учреждение Ханты-Мансийского автономного округа - Югры «Нижневартовская психоневрологическая больница»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Памятки наркозависимые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1 квартал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rPr>
                <w:sz w:val="28"/>
                <w:szCs w:val="28"/>
                <w:highlight w:val="none"/>
              </w:rPr>
              <w:t xml:space="preserve">О результатах проведения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социально-</w:t>
            </w:r>
            <w:r>
              <w:rPr>
                <w:sz w:val="28"/>
                <w:szCs w:val="28"/>
                <w:highlight w:val="none"/>
              </w:rPr>
              <w:t xml:space="preserve">психологического тестиро</w:t>
            </w:r>
            <w:r>
              <w:rPr>
                <w:sz w:val="28"/>
                <w:szCs w:val="28"/>
                <w:highlight w:val="none"/>
              </w:rPr>
              <w:t xml:space="preserve">вания обучающихся обще</w:t>
            </w:r>
            <w:r>
              <w:rPr>
                <w:sz w:val="28"/>
                <w:szCs w:val="28"/>
                <w:highlight w:val="none"/>
              </w:rPr>
              <w:t xml:space="preserve">образовательных организа</w:t>
            </w:r>
            <w:r>
              <w:rPr>
                <w:sz w:val="28"/>
                <w:szCs w:val="28"/>
                <w:highlight w:val="none"/>
              </w:rPr>
              <w:t xml:space="preserve">ций, подведомственных де</w:t>
            </w:r>
            <w:r>
              <w:rPr>
                <w:sz w:val="28"/>
                <w:szCs w:val="28"/>
                <w:highlight w:val="none"/>
              </w:rPr>
              <w:t xml:space="preserve">партаменту образования ад</w:t>
            </w:r>
            <w:r>
              <w:rPr>
                <w:sz w:val="28"/>
                <w:szCs w:val="28"/>
                <w:highlight w:val="none"/>
              </w:rPr>
              <w:t xml:space="preserve">министрации города Ниж</w:t>
            </w:r>
            <w:r>
              <w:rPr>
                <w:sz w:val="28"/>
                <w:szCs w:val="28"/>
                <w:highlight w:val="none"/>
              </w:rPr>
              <w:t xml:space="preserve">невартовска, направленного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на раннее выявление неза</w:t>
            </w:r>
            <w:r>
              <w:rPr>
                <w:sz w:val="28"/>
                <w:szCs w:val="28"/>
                <w:highlight w:val="none"/>
              </w:rPr>
              <w:t xml:space="preserve">конного потребления нарко</w:t>
            </w:r>
            <w:r>
              <w:rPr>
                <w:sz w:val="28"/>
                <w:szCs w:val="28"/>
                <w:highlight w:val="none"/>
              </w:rPr>
              <w:t xml:space="preserve">тических средств и психо</w:t>
            </w:r>
            <w:r>
              <w:rPr>
                <w:sz w:val="28"/>
                <w:szCs w:val="28"/>
                <w:highlight w:val="none"/>
              </w:rPr>
              <w:t xml:space="preserve">тропных веществ, проведе</w:t>
            </w:r>
            <w:r>
              <w:rPr>
                <w:sz w:val="28"/>
                <w:szCs w:val="28"/>
                <w:highlight w:val="none"/>
              </w:rPr>
              <w:t xml:space="preserve">ние профилактических ме</w:t>
            </w:r>
            <w:r>
              <w:rPr>
                <w:sz w:val="28"/>
                <w:szCs w:val="28"/>
                <w:highlight w:val="none"/>
              </w:rPr>
              <w:t xml:space="preserve">дицинских осмотров,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в 2024-2025 учебном году</w:t>
            </w:r>
            <w:r/>
            <w:r/>
          </w:p>
          <w:p>
            <w:pPr>
              <w:pStyle w:val="905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  <w:t xml:space="preserve">(предложение департамента образования администрации города)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Департамент образования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администрации города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1 квартал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4.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Об оценке эффективности комплекса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задачи 3 «Профилактика незаконного потребления наркотических средств, психотропных веществ»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граммы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Профилактика правонарушений и терроризма в городе Нижневартовске»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год.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по вопросам законности, правопорядка и безопасности администрации города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1 квартал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5.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б исполнении поручений и результатах работы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Антинаркотической комиссии за 2025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год.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по вопросам законности, правопорядка и безопасности администрации города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1 квартал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vMerge w:val="restart"/>
            <w:textDirection w:val="lrTb"/>
            <w:noWrap w:val="false"/>
          </w:tcPr>
          <w:p>
            <w:pPr>
              <w:pStyle w:val="905"/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 деятельности общественных объединений, действующих на территории города Нижневартовска и предоставляющих услуги по социальной реабилитации и ресоциализации наркозависимых граждан, и мерах </w:t>
            </w:r>
            <w:r>
              <w:rPr>
                <w:sz w:val="28"/>
                <w:szCs w:val="28"/>
                <w:highlight w:val="none"/>
              </w:rPr>
              <w:br/>
            </w:r>
            <w:r>
              <w:rPr>
                <w:sz w:val="28"/>
                <w:szCs w:val="28"/>
                <w:highlight w:val="none"/>
              </w:rPr>
              <w:t xml:space="preserve">по совершенствованию межведомственного взаимодействия в данном направлении.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W w:w="557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Региональная общественная организация «Страна без наркотиков. Югра»  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  </w:t>
            </w:r>
            <w:r>
              <w:rPr>
                <w:highlight w:val="none"/>
              </w:rPr>
            </w:r>
            <w:r/>
          </w:p>
        </w:tc>
        <w:tc>
          <w:tcPr>
            <w:tcW w:w="21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2 квартал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</w:t>
            </w:r>
            <w:r>
              <w:rPr>
                <w:sz w:val="28"/>
                <w:szCs w:val="28"/>
                <w:highlight w:val="none"/>
              </w:rPr>
              <w:t xml:space="preserve">.  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vMerge w:val="restart"/>
            <w:textDirection w:val="lrTb"/>
            <w:noWrap w:val="false"/>
          </w:tcPr>
          <w:p>
            <w:pPr>
              <w:pStyle w:val="905"/>
              <w:jc w:val="both"/>
            </w:pPr>
            <w:r>
              <w:rPr>
                <w:sz w:val="28"/>
                <w:szCs w:val="28"/>
                <w:highlight w:val="none"/>
              </w:rPr>
              <w:t xml:space="preserve">О</w:t>
            </w:r>
            <w:r>
              <w:rPr>
                <w:sz w:val="28"/>
                <w:szCs w:val="28"/>
                <w:highlight w:val="none"/>
              </w:rPr>
              <w:t xml:space="preserve">б организации антинаркотической профилактической работы с осужденными, состоящими на учете в </w:t>
            </w:r>
            <w:r>
              <w:rPr>
                <w:sz w:val="28"/>
                <w:szCs w:val="28"/>
                <w:highlight w:val="none"/>
              </w:rPr>
              <w:t xml:space="preserve">филиалах города Нижневартовска ФКУ </w:t>
            </w:r>
            <w:r>
              <w:rPr>
                <w:sz w:val="28"/>
                <w:szCs w:val="28"/>
                <w:highlight w:val="none"/>
              </w:rPr>
              <w:t xml:space="preserve">УИИ УФСИН России по Ханты-Мансийскому автономном</w:t>
            </w:r>
            <w:r>
              <w:rPr>
                <w:sz w:val="28"/>
                <w:szCs w:val="28"/>
                <w:highlight w:val="none"/>
              </w:rPr>
              <w:t xml:space="preserve">у </w:t>
            </w:r>
            <w:r>
              <w:rPr>
                <w:sz w:val="28"/>
                <w:szCs w:val="28"/>
                <w:highlight w:val="none"/>
              </w:rPr>
              <w:t xml:space="preserve">округу – Югре.</w:t>
            </w:r>
            <w:r/>
            <w:r/>
          </w:p>
          <w:p>
            <w:pPr>
              <w:pStyle w:val="905"/>
              <w:jc w:val="both"/>
              <w:rPr>
                <w:highlight w:val="none"/>
              </w:rPr>
            </w:pPr>
            <w:r>
              <w:rPr>
                <w:i/>
                <w:sz w:val="28"/>
                <w:szCs w:val="28"/>
                <w:highlight w:val="none"/>
              </w:rPr>
              <w:t xml:space="preserve">(предложение УФСИН)</w:t>
            </w:r>
            <w:r>
              <w:rPr>
                <w:i/>
                <w:sz w:val="28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55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Филиал по Центральному району города Нижневартовска ФКУ УИИ УФСИН России по Ханты-Мансийскому автономному округу – Югре </w:t>
            </w:r>
            <w:r/>
            <w:r/>
          </w:p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(во взаимодействии с филиалом по Старовартовскому району)   </w:t>
            </w:r>
            <w:r>
              <w:rPr>
                <w:rFonts w:eastAsia="Calibri"/>
                <w:highlight w:val="none"/>
              </w:rPr>
            </w:r>
            <w:r/>
          </w:p>
        </w:tc>
        <w:tc>
          <w:tcPr>
            <w:tcW w:w="21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2 квартал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t xml:space="preserve">Об эффективности проводимых антинаркотических профилакт</w:t>
            </w:r>
            <w:bookmarkStart w:id="0" w:name="undefined"/>
            <w:r>
              <w:rPr>
                <w:highlight w:val="none"/>
              </w:rPr>
            </w:r>
            <w:bookmarkEnd w:id="0"/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t xml:space="preserve">ических мероприятий по формированию у подростков </w:t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t xml:space="preserve">и молодежи установок на здоровый образ жизни</w:t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t xml:space="preserve">в учреждениях культуры, образования, молодежной</w:t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  <w:t xml:space="preserve">политики и организациях спортивной направленности. </w:t>
            </w:r>
            <w:r/>
            <w:r/>
          </w:p>
          <w:p>
            <w:pPr>
              <w:jc w:val="both"/>
            </w:pPr>
            <w:r>
              <w:rPr>
                <w:rFonts w:eastAsiaTheme="minorHAnsi"/>
                <w:i/>
                <w:sz w:val="28"/>
                <w:szCs w:val="28"/>
                <w:highlight w:val="none"/>
                <w:lang w:eastAsia="en-US"/>
              </w:rPr>
              <w:t xml:space="preserve">(</w:t>
            </w:r>
            <w:r>
              <w:rPr>
                <w:rFonts w:eastAsiaTheme="minorHAnsi"/>
                <w:i/>
                <w:iCs/>
                <w:sz w:val="28"/>
                <w:szCs w:val="28"/>
                <w:highlight w:val="none"/>
                <w:lang w:eastAsia="en-US"/>
              </w:rPr>
              <w:t xml:space="preserve">предложение департамента </w:t>
            </w:r>
            <w:r>
              <w:rPr>
                <w:i/>
                <w:iCs/>
                <w:sz w:val="28"/>
                <w:szCs w:val="28"/>
                <w:highlight w:val="none"/>
              </w:rPr>
              <w:t xml:space="preserve">общественных коммуникаци</w:t>
            </w:r>
            <w:r>
              <w:rPr>
                <w:i/>
                <w:iCs/>
                <w:sz w:val="28"/>
                <w:szCs w:val="28"/>
                <w:highlight w:val="none"/>
              </w:rPr>
              <w:t xml:space="preserve">й</w:t>
            </w:r>
            <w:r>
              <w:rPr>
                <w:i/>
                <w:iCs/>
                <w:sz w:val="28"/>
                <w:szCs w:val="28"/>
                <w:highlight w:val="none"/>
              </w:rPr>
              <w:t xml:space="preserve"> и молодежной политики администрации города </w:t>
            </w:r>
            <w:r>
              <w:rPr>
                <w:rFonts w:eastAsiaTheme="minorHAnsi"/>
                <w:i/>
                <w:iCs/>
                <w:sz w:val="28"/>
                <w:szCs w:val="28"/>
                <w:highlight w:val="none"/>
                <w:lang w:eastAsia="en-US"/>
              </w:rPr>
              <w:t xml:space="preserve">)</w:t>
            </w:r>
            <w:r/>
            <w:r/>
          </w:p>
          <w:p>
            <w:pPr>
              <w:jc w:val="both"/>
              <w:rPr>
                <w:bCs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Организация занятости </w:t>
            </w:r>
            <w:r>
              <w:rPr>
                <w:sz w:val="28"/>
                <w:szCs w:val="28"/>
                <w:highlight w:val="none"/>
              </w:rPr>
              <w:t xml:space="preserve">несовершеннолетних </w:t>
            </w:r>
            <w:r>
              <w:rPr>
                <w:sz w:val="28"/>
                <w:szCs w:val="28"/>
                <w:highlight w:val="none"/>
              </w:rPr>
              <w:br/>
            </w:r>
            <w:r>
              <w:rPr>
                <w:sz w:val="28"/>
                <w:szCs w:val="28"/>
                <w:highlight w:val="none"/>
              </w:rPr>
              <w:t xml:space="preserve">в период летних каникул.</w:t>
            </w:r>
            <w:r>
              <w:rPr>
                <w:rFonts w:eastAsiaTheme="minorHAnsi"/>
                <w:bCs/>
                <w:i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highlight w:val="none"/>
              </w:rPr>
              <w:t xml:space="preserve">Департамент по социальной политике администрации города</w:t>
            </w:r>
            <w:r/>
            <w:r/>
          </w:p>
          <w:p>
            <w:pPr>
              <w:jc w:val="center"/>
            </w:pPr>
            <w:r>
              <w:rPr>
                <w:sz w:val="28"/>
                <w:szCs w:val="28"/>
                <w:highlight w:val="none"/>
              </w:rPr>
            </w:r>
            <w:r/>
            <w:r/>
          </w:p>
          <w:p>
            <w:pPr>
              <w:jc w:val="center"/>
            </w:pPr>
            <w:r>
              <w:rPr>
                <w:sz w:val="28"/>
                <w:szCs w:val="28"/>
                <w:highlight w:val="none"/>
              </w:rPr>
              <w:t xml:space="preserve">Департамент общественных коммуникаци</w:t>
            </w:r>
            <w:r>
              <w:rPr>
                <w:sz w:val="28"/>
                <w:szCs w:val="28"/>
                <w:highlight w:val="none"/>
              </w:rPr>
              <w:t xml:space="preserve">й</w:t>
            </w:r>
            <w:r>
              <w:rPr>
                <w:sz w:val="28"/>
                <w:szCs w:val="28"/>
                <w:highlight w:val="none"/>
              </w:rPr>
              <w:t xml:space="preserve"> и молодежной политики администрации города </w:t>
            </w:r>
            <w:r/>
            <w:r/>
          </w:p>
          <w:p>
            <w:pPr>
              <w:jc w:val="both"/>
            </w:pPr>
            <w:r>
              <w:rPr>
                <w:sz w:val="28"/>
                <w:szCs w:val="28"/>
                <w:highlight w:val="none"/>
              </w:rPr>
            </w:r>
            <w:r/>
            <w:r/>
          </w:p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2 квартал 2025</w:t>
            </w:r>
            <w:r/>
            <w:r/>
          </w:p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Об исполнении протокольных решений заседания Антинаркотической комиссии за 1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квартал 2025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по вопросам законности, правопорядка и безопасности администрации города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2 квартал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  <w:t xml:space="preserve">0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 сложившейся наркоситуации на территории города Нижневартовска за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истекший период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Министерства внутренних дел 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Российской Федерации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по городу Нижневартовску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3 квартал 2025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708"/>
        </w:trPr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11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химико-токсикологических исследований на предмет обнаружения наркотических средств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истекший период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bidi="ru-RU"/>
              </w:rPr>
              <w:t xml:space="preserve"> года. Тенденции выявляемости фактов употребления наркотических средств.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Бюджетное учреждение Ханты-Мансийского автономного округа - Югры «Нижневартовская психоневрологическая больница»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3 квартал 2025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12.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rPr>
                <w:sz w:val="28"/>
                <w:szCs w:val="28"/>
                <w:highlight w:val="none"/>
              </w:rPr>
              <w:t xml:space="preserve">О принимаемых мерах </w:t>
            </w:r>
            <w:r>
              <w:rPr>
                <w:sz w:val="28"/>
                <w:szCs w:val="28"/>
                <w:highlight w:val="none"/>
              </w:rPr>
              <w:t xml:space="preserve">по профилактике правонарушений несовершеннолетних в сфере незаконного оборота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наркотических средств и их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рекурсоров.</w:t>
            </w:r>
            <w:r/>
            <w:r/>
          </w:p>
          <w:p>
            <w:pPr>
              <w:pStyle w:val="905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  <w:t xml:space="preserve">(предложение департамента образования администрации города)</w:t>
            </w:r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Департамент образования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администрации города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3 квартал 2025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13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 w:bidi="ru-RU"/>
              </w:rPr>
              <w:t xml:space="preserve"> года.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по вопросам законности, правопорядка и безопасности администрации города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3 квартал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14.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5"/>
              <w:jc w:val="both"/>
              <w:rPr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  <w:lang w:bidi="ru-RU"/>
              </w:rPr>
              <w:t xml:space="preserve">О результатах проведения </w:t>
            </w:r>
            <w:r>
              <w:rPr>
                <w:b w:val="0"/>
                <w:bCs w:val="0"/>
                <w:sz w:val="28"/>
                <w:szCs w:val="28"/>
                <w:highlight w:val="none"/>
                <w:lang w:bidi="ru-RU"/>
              </w:rPr>
              <w:t xml:space="preserve">филиалом в городе Нижневартовске </w:t>
            </w:r>
            <w:r>
              <w:rPr>
                <w:b w:val="0"/>
                <w:bCs w:val="0"/>
                <w:sz w:val="28"/>
                <w:szCs w:val="28"/>
              </w:rPr>
              <w:t xml:space="preserve">бюджетного учреждения Ханты-Мансийского автономного округа - Югры «Центр общественного здоровья и медицинской профилактики»</w:t>
            </w:r>
            <w:r>
              <w:rPr>
                <w:b w:val="0"/>
                <w:bCs w:val="0"/>
                <w:sz w:val="28"/>
                <w:szCs w:val="28"/>
                <w:highlight w:val="none"/>
                <w:lang w:bidi="ru-RU"/>
              </w:rPr>
              <w:t xml:space="preserve"> мероприятий, направленных на профилактику потребления наркотических средств, психотропных веществ среди населения города.</w:t>
            </w:r>
            <w:r>
              <w:rPr>
                <w:b w:val="0"/>
                <w:bCs w:val="0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Бюджетное учреждение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Ханты-Мансийского автономного </w:t>
            </w:r>
            <w:r/>
            <w:r/>
          </w:p>
          <w:p>
            <w:pPr>
              <w:jc w:val="center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округа – Югры</w:t>
            </w:r>
            <w:r>
              <w:rPr>
                <w:b w:val="0"/>
                <w:bCs w:val="0"/>
                <w:sz w:val="28"/>
                <w:szCs w:val="28"/>
              </w:rPr>
              <w:t xml:space="preserve"> «Центр общественного здоровья и медицинской профилактики» (филиал в городе Нижневартовске)</w:t>
            </w:r>
            <w:r>
              <w:rPr>
                <w:rFonts w:ascii="Times New Roman" w:hAnsi="Times New Roman" w:eastAsia="Calibri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4 квартал 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</w:t>
            </w:r>
            <w:r>
              <w:rPr>
                <w:sz w:val="28"/>
                <w:szCs w:val="28"/>
                <w:highlight w:val="none"/>
              </w:rPr>
              <w:t xml:space="preserve">.  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vMerge w:val="restart"/>
            <w:textDirection w:val="lrTb"/>
            <w:noWrap w:val="false"/>
          </w:tcPr>
          <w:p>
            <w:pPr>
              <w:pStyle w:val="905"/>
              <w:jc w:val="both"/>
            </w:pPr>
            <w:r>
              <w:rPr>
                <w:sz w:val="28"/>
                <w:szCs w:val="28"/>
                <w:highlight w:val="none"/>
              </w:rPr>
              <w:t xml:space="preserve">О</w:t>
            </w:r>
            <w:r>
              <w:rPr>
                <w:sz w:val="28"/>
                <w:szCs w:val="28"/>
                <w:highlight w:val="none"/>
              </w:rPr>
              <w:t xml:space="preserve">б организации работы по реабилитации и ресоциализации лиц, страдающих наркологическими зависимостями. </w:t>
            </w:r>
            <w:r/>
            <w:r/>
          </w:p>
          <w:p>
            <w:pPr>
              <w:pStyle w:val="905"/>
              <w:jc w:val="both"/>
              <w:rPr>
                <w:highlight w:val="none"/>
              </w:rPr>
            </w:pPr>
            <w:r>
              <w:rPr>
                <w:i/>
                <w:sz w:val="28"/>
                <w:szCs w:val="28"/>
                <w:highlight w:val="none"/>
              </w:rPr>
              <w:t xml:space="preserve">(предложение УСЗНОиП)</w:t>
            </w:r>
            <w:r>
              <w:rPr>
                <w:i/>
                <w:sz w:val="28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55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Управление 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социальной защиты населения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, опеки и попечительства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 по городу Нижневартовску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и Нижневартовскому району Департамента социального развития Ханты-Мансийского автономного </w:t>
            </w:r>
            <w:r/>
            <w:r/>
          </w:p>
          <w:p>
            <w:pPr>
              <w:jc w:val="center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</w:rPr>
              <w:t xml:space="preserve">округа – Югры</w:t>
            </w:r>
            <w:r>
              <w:rPr>
                <w:rFonts w:eastAsia="Calibri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none"/>
              </w:rPr>
            </w:r>
            <w:r/>
          </w:p>
        </w:tc>
        <w:tc>
          <w:tcPr>
            <w:tcW w:w="21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квартал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15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rPr>
                <w:sz w:val="28"/>
                <w:szCs w:val="28"/>
                <w:highlight w:val="none"/>
              </w:rPr>
              <w:t xml:space="preserve">О результатах информационного сопровождения антинаркотической деятельности, в том числе </w:t>
            </w:r>
            <w:r>
              <w:rPr>
                <w:sz w:val="28"/>
                <w:szCs w:val="28"/>
                <w:highlight w:val="none"/>
              </w:rPr>
              <w:br/>
            </w:r>
            <w:r>
              <w:rPr>
                <w:sz w:val="28"/>
                <w:szCs w:val="28"/>
                <w:highlight w:val="none"/>
              </w:rPr>
              <w:t xml:space="preserve">в рамках реализации </w:t>
            </w:r>
            <w:r>
              <w:rPr>
                <w:sz w:val="28"/>
                <w:szCs w:val="28"/>
                <w:highlight w:val="none"/>
              </w:rPr>
              <w:t xml:space="preserve">Комплекса процессных мероприятий «Профилактика незаконного потребления наркотических средств, психотропных веществ»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муниципальной программы «</w:t>
            </w:r>
            <w:r>
              <w:rPr>
                <w:sz w:val="28"/>
                <w:szCs w:val="28"/>
                <w:highlight w:val="none"/>
              </w:rPr>
              <w:t xml:space="preserve">Профилактика правонарушений </w:t>
            </w:r>
            <w:r>
              <w:rPr>
                <w:sz w:val="28"/>
                <w:szCs w:val="28"/>
                <w:highlight w:val="none"/>
              </w:rPr>
              <w:br/>
            </w:r>
            <w:r>
              <w:rPr>
                <w:sz w:val="28"/>
                <w:szCs w:val="28"/>
                <w:highlight w:val="none"/>
              </w:rPr>
              <w:t xml:space="preserve">в городе Нижневартовске</w:t>
            </w:r>
            <w:r>
              <w:rPr>
                <w:sz w:val="28"/>
                <w:szCs w:val="28"/>
                <w:highlight w:val="none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  <w:t xml:space="preserve"> за 2025 год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/>
            <w:r/>
          </w:p>
          <w:p>
            <w:pPr>
              <w:pStyle w:val="905"/>
              <w:jc w:val="both"/>
              <w:rPr>
                <w:highlight w:val="none"/>
              </w:rPr>
            </w:pPr>
            <w:r>
              <w:rPr>
                <w:i/>
                <w:sz w:val="28"/>
                <w:szCs w:val="28"/>
                <w:highlight w:val="none"/>
              </w:rPr>
              <w:t xml:space="preserve">(предложение ДОКиМП)</w:t>
            </w:r>
            <w:r>
              <w:rPr>
                <w:bCs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Департамент общественных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администрации города   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4 квартал 2025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  <w:t xml:space="preserve">7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Об исполнении протокольных решений заседания Антинаркотической комиссии города за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квартал 2025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none"/>
                <w:lang w:eastAsia="ru-RU" w:bidi="ru-RU"/>
              </w:rPr>
              <w:t xml:space="preserve"> и утверждении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плана работы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  <w:lang w:eastAsia="ru-RU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на 2026 год.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Управление по вопросам законности, правопорядка и безопасности администрации города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4 квартал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4651" w:type="dxa"/>
            <w:textDirection w:val="lrTb"/>
            <w:noWrap w:val="false"/>
          </w:tcPr>
          <w:p>
            <w:pPr>
              <w:jc w:val="center"/>
              <w:keepLines/>
              <w:keepNext/>
              <w:spacing w:before="120" w:after="120"/>
              <w:outlineLvl w:val="0"/>
            </w:pPr>
            <w:r>
              <w:rPr>
                <w:b/>
                <w:bCs/>
                <w:sz w:val="28"/>
                <w:szCs w:val="28"/>
              </w:rPr>
              <w:t xml:space="preserve">2. Организационные мероприятия Антинаркотической комиссии</w:t>
            </w:r>
            <w:r/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sz w:val="28"/>
                <w:szCs w:val="28"/>
              </w:rPr>
              <w:t xml:space="preserve">1.</w:t>
            </w:r>
            <w:r/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заседаний комиссии:</w:t>
            </w:r>
            <w:r/>
            <w:r/>
          </w:p>
          <w:p>
            <w:pPr>
              <w:pStyle w:val="90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по планируемым для рассмотрения вопросам;</w:t>
            </w:r>
            <w:r/>
            <w:r/>
          </w:p>
          <w:p>
            <w:pPr>
              <w:pStyle w:val="90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подготовки необходимых аналитических и справочных материалов по вопросам, рассматриваемым на заседании комиссии;</w:t>
            </w:r>
            <w:r/>
            <w:r/>
          </w:p>
          <w:p>
            <w:pPr>
              <w:pStyle w:val="9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проекта решения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Аппарат Антинаркотической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города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sz w:val="28"/>
                <w:szCs w:val="28"/>
              </w:rPr>
              <w:t xml:space="preserve">2.</w:t>
            </w:r>
            <w:r/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комиссии: </w:t>
            </w:r>
            <w:r/>
            <w:r/>
          </w:p>
          <w:p>
            <w:pPr>
              <w:pStyle w:val="90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ведение протокола заседания комиссии;</w:t>
            </w:r>
            <w:r/>
            <w:r/>
          </w:p>
          <w:p>
            <w:pPr>
              <w:pStyle w:val="9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оформление решения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ппарат Антинаркотической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города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жеквартально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sz w:val="28"/>
                <w:szCs w:val="28"/>
              </w:rPr>
              <w:t xml:space="preserve">3.</w:t>
            </w:r>
            <w:r/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исполнителям решений, принимаемых в пределах полномочий комиссии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ппарат Антинаркотической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города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жеквартально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sz w:val="28"/>
                <w:szCs w:val="28"/>
              </w:rPr>
              <w:t xml:space="preserve">4.</w:t>
            </w:r>
            <w:r/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(экспертных) групп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ппарат Антинаркотической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города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мере необходимости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sz w:val="28"/>
                <w:szCs w:val="28"/>
              </w:rPr>
              <w:t xml:space="preserve">5.</w:t>
            </w:r>
            <w:r/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принятых комиссией решений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ппарат Антинаркотической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города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jc w:val="center"/>
              <w:tabs>
                <w:tab w:val="left" w:pos="720" w:leader="none"/>
              </w:tabs>
            </w:pPr>
            <w:r>
              <w:rPr>
                <w:sz w:val="28"/>
                <w:szCs w:val="28"/>
              </w:rPr>
              <w:t xml:space="preserve">6.</w:t>
            </w:r>
            <w:r/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pStyle w:val="9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плана работы комиссии на очередной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74" w:type="dxa"/>
            <w:textDirection w:val="lrTb"/>
            <w:noWrap w:val="false"/>
          </w:tcPr>
          <w:p>
            <w:pPr>
              <w:pStyle w:val="90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ппарат Антинаркотической</w:t>
            </w: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города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tcW w:w="21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оябрь</w:t>
            </w: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</w:tr>
    </w:tbl>
    <w:p>
      <w:pPr>
        <w:jc w:val="both"/>
      </w:pPr>
      <w:r>
        <w:rPr>
          <w:bCs/>
          <w:sz w:val="28"/>
          <w:szCs w:val="28"/>
        </w:rPr>
      </w:r>
      <w:r/>
      <w:r/>
    </w:p>
    <w:p>
      <w:pPr>
        <w:pStyle w:val="896"/>
        <w:ind w:left="-360"/>
        <w:jc w:val="right"/>
        <w:rPr>
          <w:szCs w:val="28"/>
        </w:rPr>
      </w:pPr>
      <w:r>
        <w:rPr>
          <w:szCs w:val="28"/>
        </w:rPr>
      </w:r>
      <w:r/>
    </w:p>
    <w:p>
      <w:pPr>
        <w:pStyle w:val="896"/>
        <w:ind w:left="-360"/>
        <w:jc w:val="right"/>
        <w:rPr>
          <w:szCs w:val="28"/>
        </w:rPr>
      </w:pPr>
      <w:r>
        <w:rPr>
          <w:szCs w:val="28"/>
        </w:rPr>
      </w:r>
      <w:r/>
    </w:p>
    <w:sectPr>
      <w:footnotePr/>
      <w:endnotePr/>
      <w:type w:val="nextPage"/>
      <w:pgSz w:w="16838" w:h="11906" w:orient="landscape"/>
      <w:pgMar w:top="1276" w:right="1134" w:bottom="851" w:left="992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MS Sans Serif">
    <w:panose1 w:val="02000603000000000000"/>
  </w:font>
  <w:font w:name="Lucida Sans Unicode">
    <w:panose1 w:val="020B0603030804020204"/>
  </w:font>
  <w:font w:name="Impact">
    <w:panose1 w:val="020B08060309020502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1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31" w:hanging="360"/>
      </w:pPr>
      <w:rPr>
        <w:rFonts w:ascii="Times New Roman" w:hAnsi="Times New Roman" w:eastAsia="Lucida Sans Unicode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5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7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9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1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3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5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7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9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3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5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7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9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1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3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5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7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9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3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5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7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9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1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3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5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7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91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876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  <w:b w:val="0"/>
        <w:color w:val="212529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0" w:hanging="180"/>
      </w:p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1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73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5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7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9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1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3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5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7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22"/>
  </w:num>
  <w:num w:numId="8">
    <w:abstractNumId w:val="25"/>
  </w:num>
  <w:num w:numId="9">
    <w:abstractNumId w:val="4"/>
  </w:num>
  <w:num w:numId="10">
    <w:abstractNumId w:val="39"/>
  </w:num>
  <w:num w:numId="11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3"/>
  </w:num>
  <w:num w:numId="14">
    <w:abstractNumId w:val="31"/>
  </w:num>
  <w:num w:numId="15">
    <w:abstractNumId w:val="10"/>
  </w:num>
  <w:num w:numId="16">
    <w:abstractNumId w:val="35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  <w:num w:numId="21">
    <w:abstractNumId w:val="34"/>
  </w:num>
  <w:num w:numId="22">
    <w:abstractNumId w:val="32"/>
  </w:num>
  <w:num w:numId="23">
    <w:abstractNumId w:val="1"/>
  </w:num>
  <w:num w:numId="24">
    <w:abstractNumId w:val="24"/>
  </w:num>
  <w:num w:numId="25">
    <w:abstractNumId w:val="14"/>
  </w:num>
  <w:num w:numId="26">
    <w:abstractNumId w:val="2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7"/>
  </w:num>
  <w:num w:numId="32">
    <w:abstractNumId w:val="30"/>
  </w:num>
  <w:num w:numId="33">
    <w:abstractNumId w:val="21"/>
  </w:num>
  <w:num w:numId="34">
    <w:abstractNumId w:val="36"/>
  </w:num>
  <w:num w:numId="35">
    <w:abstractNumId w:val="7"/>
  </w:num>
  <w:num w:numId="36">
    <w:abstractNumId w:val="6"/>
  </w:num>
  <w:num w:numId="37">
    <w:abstractNumId w:val="3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8"/>
  </w:num>
  <w:num w:numId="43">
    <w:abstractNumId w:val="9"/>
  </w:num>
  <w:num w:numId="44">
    <w:abstractNumId w:val="15"/>
  </w:num>
  <w:num w:numId="45">
    <w:abstractNumId w:val="20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26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basedOn w:val="890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87"/>
    <w:next w:val="887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0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87"/>
    <w:next w:val="887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0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87"/>
    <w:next w:val="887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0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87"/>
    <w:next w:val="88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0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87"/>
    <w:next w:val="887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0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87"/>
    <w:next w:val="88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41">
    <w:name w:val="Title Char"/>
    <w:basedOn w:val="890"/>
    <w:link w:val="896"/>
    <w:uiPriority w:val="10"/>
    <w:rPr>
      <w:sz w:val="48"/>
      <w:szCs w:val="48"/>
    </w:rPr>
  </w:style>
  <w:style w:type="character" w:styleId="742">
    <w:name w:val="Subtitle Char"/>
    <w:basedOn w:val="890"/>
    <w:link w:val="953"/>
    <w:uiPriority w:val="11"/>
    <w:rPr>
      <w:sz w:val="24"/>
      <w:szCs w:val="24"/>
    </w:rPr>
  </w:style>
  <w:style w:type="paragraph" w:styleId="743">
    <w:name w:val="Quote"/>
    <w:basedOn w:val="887"/>
    <w:next w:val="88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87"/>
    <w:next w:val="88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0"/>
    <w:link w:val="956"/>
    <w:uiPriority w:val="99"/>
  </w:style>
  <w:style w:type="character" w:styleId="748">
    <w:name w:val="Footer Char"/>
    <w:basedOn w:val="890"/>
    <w:link w:val="963"/>
    <w:uiPriority w:val="99"/>
  </w:style>
  <w:style w:type="paragraph" w:styleId="749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963"/>
    <w:uiPriority w:val="99"/>
  </w:style>
  <w:style w:type="table" w:styleId="751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Footnote Text Char"/>
    <w:link w:val="894"/>
    <w:uiPriority w:val="99"/>
    <w:rPr>
      <w:sz w:val="18"/>
    </w:rPr>
  </w:style>
  <w:style w:type="paragraph" w:styleId="877">
    <w:name w:val="endnote text"/>
    <w:basedOn w:val="887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0"/>
    <w:uiPriority w:val="99"/>
    <w:semiHidden/>
    <w:unhideWhenUsed/>
    <w:rPr>
      <w:vertAlign w:val="superscript"/>
    </w:rPr>
  </w:style>
  <w:style w:type="paragraph" w:styleId="880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8">
    <w:name w:val="Heading 1"/>
    <w:basedOn w:val="887"/>
    <w:next w:val="887"/>
    <w:link w:val="893"/>
    <w:qFormat/>
    <w:pPr>
      <w:keepNext/>
      <w:outlineLvl w:val="0"/>
    </w:pPr>
    <w:rPr>
      <w:sz w:val="28"/>
    </w:rPr>
  </w:style>
  <w:style w:type="paragraph" w:styleId="889">
    <w:name w:val="Heading 2"/>
    <w:basedOn w:val="887"/>
    <w:next w:val="887"/>
    <w:link w:val="95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character" w:styleId="893" w:customStyle="1">
    <w:name w:val="Заголовок 1 Знак"/>
    <w:basedOn w:val="890"/>
    <w:link w:val="88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94">
    <w:name w:val="footnote text"/>
    <w:basedOn w:val="887"/>
    <w:link w:val="895"/>
    <w:uiPriority w:val="99"/>
    <w:semiHidden/>
    <w:unhideWhenUsed/>
    <w:rPr>
      <w:sz w:val="20"/>
      <w:szCs w:val="20"/>
    </w:rPr>
  </w:style>
  <w:style w:type="character" w:styleId="895" w:customStyle="1">
    <w:name w:val="Текст сноски Знак"/>
    <w:basedOn w:val="890"/>
    <w:link w:val="89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>
    <w:name w:val="Title"/>
    <w:basedOn w:val="887"/>
    <w:link w:val="897"/>
    <w:qFormat/>
    <w:pPr>
      <w:jc w:val="center"/>
    </w:pPr>
    <w:rPr>
      <w:sz w:val="28"/>
    </w:rPr>
  </w:style>
  <w:style w:type="character" w:styleId="897" w:customStyle="1">
    <w:name w:val="Заголовок Знак"/>
    <w:basedOn w:val="890"/>
    <w:link w:val="896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98">
    <w:name w:val="Body Text"/>
    <w:basedOn w:val="887"/>
    <w:link w:val="899"/>
    <w:unhideWhenUsed/>
    <w:rPr>
      <w:sz w:val="28"/>
    </w:rPr>
  </w:style>
  <w:style w:type="character" w:styleId="899" w:customStyle="1">
    <w:name w:val="Основной текст Знак"/>
    <w:basedOn w:val="890"/>
    <w:link w:val="89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0">
    <w:name w:val="Body Text Indent"/>
    <w:basedOn w:val="887"/>
    <w:link w:val="901"/>
    <w:unhideWhenUsed/>
    <w:pPr>
      <w:ind w:left="283"/>
      <w:spacing w:after="120"/>
    </w:pPr>
  </w:style>
  <w:style w:type="character" w:styleId="901" w:customStyle="1">
    <w:name w:val="Основной текст с отступом Знак"/>
    <w:basedOn w:val="890"/>
    <w:link w:val="9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Без интервала Знак"/>
    <w:link w:val="903"/>
    <w:uiPriority w:val="1"/>
    <w:rPr>
      <w:sz w:val="24"/>
      <w:szCs w:val="24"/>
    </w:rPr>
  </w:style>
  <w:style w:type="paragraph" w:styleId="903">
    <w:name w:val="No Spacing"/>
    <w:link w:val="902"/>
    <w:uiPriority w:val="1"/>
    <w:qFormat/>
    <w:pPr>
      <w:spacing w:after="0" w:line="240" w:lineRule="auto"/>
    </w:pPr>
    <w:rPr>
      <w:sz w:val="24"/>
      <w:szCs w:val="24"/>
    </w:rPr>
  </w:style>
  <w:style w:type="paragraph" w:styleId="904">
    <w:name w:val="List Paragraph"/>
    <w:basedOn w:val="887"/>
    <w:link w:val="965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6" w:customStyle="1">
    <w:name w:val="Основной текст5"/>
    <w:basedOn w:val="887"/>
    <w:pPr>
      <w:ind w:hanging="680"/>
      <w:jc w:val="right"/>
      <w:spacing w:before="840" w:after="6180" w:line="480" w:lineRule="exact"/>
      <w:shd w:val="clear" w:color="auto" w:fill="ffffff"/>
      <w:widowControl w:val="off"/>
    </w:pPr>
    <w:rPr>
      <w:sz w:val="27"/>
      <w:szCs w:val="27"/>
    </w:rPr>
  </w:style>
  <w:style w:type="character" w:styleId="907">
    <w:name w:val="footnote reference"/>
    <w:uiPriority w:val="99"/>
    <w:unhideWhenUsed/>
    <w:rPr>
      <w:vertAlign w:val="superscript"/>
    </w:rPr>
  </w:style>
  <w:style w:type="character" w:styleId="908" w:customStyle="1">
    <w:name w:val="Основной текст1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6"/>
      <w:szCs w:val="26"/>
      <w:u w:val="none"/>
      <w:lang w:val="ru-RU" w:eastAsia="ru-RU" w:bidi="ru-RU"/>
    </w:rPr>
  </w:style>
  <w:style w:type="character" w:styleId="909">
    <w:name w:val="Strong"/>
    <w:basedOn w:val="890"/>
    <w:uiPriority w:val="22"/>
    <w:qFormat/>
    <w:rPr>
      <w:b/>
      <w:bCs/>
    </w:rPr>
  </w:style>
  <w:style w:type="paragraph" w:styleId="910">
    <w:name w:val="Body Text 2"/>
    <w:basedOn w:val="887"/>
    <w:link w:val="911"/>
    <w:unhideWhenUsed/>
    <w:pPr>
      <w:spacing w:after="120" w:line="480" w:lineRule="auto"/>
    </w:pPr>
  </w:style>
  <w:style w:type="character" w:styleId="911" w:customStyle="1">
    <w:name w:val="Основной текст 2 Знак"/>
    <w:basedOn w:val="890"/>
    <w:link w:val="91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Основной текст_"/>
    <w:link w:val="913"/>
    <w:rPr>
      <w:rFonts w:ascii="Times New Roman" w:hAnsi="Times New Roman" w:eastAsia="Times New Roman" w:cs="Times New Roman"/>
      <w:spacing w:val="2"/>
      <w:sz w:val="26"/>
      <w:szCs w:val="26"/>
      <w:shd w:val="clear" w:color="auto" w:fill="ffffff"/>
    </w:rPr>
  </w:style>
  <w:style w:type="paragraph" w:styleId="913" w:customStyle="1">
    <w:name w:val="Основной текст2"/>
    <w:basedOn w:val="887"/>
    <w:link w:val="912"/>
    <w:pPr>
      <w:jc w:val="right"/>
      <w:spacing w:line="322" w:lineRule="exact"/>
      <w:shd w:val="clear" w:color="auto" w:fill="ffffff"/>
      <w:widowControl w:val="off"/>
    </w:pPr>
    <w:rPr>
      <w:spacing w:val="2"/>
      <w:sz w:val="26"/>
      <w:szCs w:val="26"/>
      <w:lang w:eastAsia="en-US"/>
    </w:rPr>
  </w:style>
  <w:style w:type="paragraph" w:styleId="914">
    <w:name w:val="Balloon Text"/>
    <w:basedOn w:val="887"/>
    <w:link w:val="915"/>
    <w:uiPriority w:val="99"/>
    <w:semiHidden/>
    <w:unhideWhenUsed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90"/>
    <w:link w:val="91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6">
    <w:name w:val="Normal (Web)"/>
    <w:basedOn w:val="887"/>
    <w:link w:val="959"/>
    <w:uiPriority w:val="99"/>
    <w:semiHidden/>
    <w:unhideWhenUsed/>
    <w:pPr>
      <w:spacing w:before="100" w:beforeAutospacing="1" w:after="100" w:afterAutospacing="1"/>
    </w:pPr>
  </w:style>
  <w:style w:type="paragraph" w:styleId="917">
    <w:name w:val="List Bullet"/>
    <w:basedOn w:val="887"/>
    <w:uiPriority w:val="99"/>
    <w:semiHidden/>
    <w:unhideWhenUsed/>
    <w:pPr>
      <w:numPr>
        <w:numId w:val="1"/>
      </w:numPr>
      <w:contextualSpacing/>
    </w:pPr>
    <w:rPr>
      <w:color w:val="000000"/>
      <w:sz w:val="28"/>
      <w:szCs w:val="28"/>
    </w:rPr>
  </w:style>
  <w:style w:type="paragraph" w:styleId="918" w:customStyle="1">
    <w:name w:val="style4"/>
    <w:basedOn w:val="887"/>
    <w:uiPriority w:val="99"/>
    <w:pPr>
      <w:spacing w:before="100" w:beforeAutospacing="1" w:after="100" w:afterAutospacing="1"/>
    </w:pPr>
    <w:rPr>
      <w:sz w:val="16"/>
      <w:szCs w:val="16"/>
    </w:rPr>
  </w:style>
  <w:style w:type="paragraph" w:styleId="919" w:customStyle="1">
    <w:name w:val="List Paragraph1"/>
    <w:basedOn w:val="887"/>
    <w:uiPriority w:val="9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920">
    <w:name w:val="Table Grid"/>
    <w:basedOn w:val="8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22" w:customStyle="1">
    <w:name w:val="Основной текст (5)_"/>
    <w:basedOn w:val="890"/>
    <w:link w:val="923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23" w:customStyle="1">
    <w:name w:val="Основной текст (5)"/>
    <w:basedOn w:val="887"/>
    <w:link w:val="922"/>
    <w:pPr>
      <w:jc w:val="both"/>
      <w:spacing w:before="60" w:line="374" w:lineRule="exact"/>
      <w:shd w:val="clear" w:color="auto" w:fill="ffffff"/>
      <w:widowControl w:val="off"/>
    </w:pPr>
    <w:rPr>
      <w:b/>
      <w:bCs/>
      <w:sz w:val="26"/>
      <w:szCs w:val="26"/>
      <w:lang w:eastAsia="en-US"/>
    </w:rPr>
  </w:style>
  <w:style w:type="character" w:styleId="924" w:customStyle="1">
    <w:name w:val="Основной текст (7)_"/>
    <w:basedOn w:val="890"/>
    <w:link w:val="925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25" w:customStyle="1">
    <w:name w:val="Основной текст (7)"/>
    <w:basedOn w:val="887"/>
    <w:link w:val="924"/>
    <w:pPr>
      <w:jc w:val="center"/>
      <w:spacing w:line="374" w:lineRule="exact"/>
      <w:shd w:val="clear" w:color="auto" w:fill="ffffff"/>
      <w:widowControl w:val="off"/>
    </w:pPr>
    <w:rPr>
      <w:sz w:val="26"/>
      <w:szCs w:val="26"/>
      <w:lang w:eastAsia="en-US"/>
    </w:rPr>
  </w:style>
  <w:style w:type="character" w:styleId="926" w:customStyle="1">
    <w:name w:val="Подпись к таблице_"/>
    <w:basedOn w:val="890"/>
    <w:link w:val="927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27" w:customStyle="1">
    <w:name w:val="Подпись к таблице"/>
    <w:basedOn w:val="887"/>
    <w:link w:val="926"/>
    <w:pPr>
      <w:spacing w:line="326" w:lineRule="exact"/>
      <w:shd w:val="clear" w:color="auto" w:fill="ffffff"/>
      <w:widowControl w:val="off"/>
    </w:pPr>
    <w:rPr>
      <w:b/>
      <w:bCs/>
      <w:sz w:val="26"/>
      <w:szCs w:val="26"/>
      <w:lang w:eastAsia="en-US"/>
    </w:rPr>
  </w:style>
  <w:style w:type="character" w:styleId="928" w:customStyle="1">
    <w:name w:val="Основной текст (5) + Не полужирный"/>
    <w:basedOn w:val="92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929" w:customStyle="1">
    <w:name w:val="Основной текст + Полужирный"/>
    <w:basedOn w:val="91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930" w:customStyle="1">
    <w:name w:val="Основной текст + 14 pt"/>
    <w:basedOn w:val="91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931" w:customStyle="1">
    <w:name w:val="Основной текст + Impact"/>
    <w:basedOn w:val="912"/>
    <w:rPr>
      <w:rFonts w:ascii="Impact" w:hAnsi="Impact" w:eastAsia="Impact" w:cs="Impact"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paragraph" w:styleId="932" w:customStyle="1">
    <w:name w:val="Основной"/>
    <w:basedOn w:val="887"/>
    <w:pPr>
      <w:ind w:firstLine="720"/>
      <w:jc w:val="both"/>
      <w:widowControl w:val="off"/>
    </w:pPr>
    <w:rPr>
      <w:sz w:val="28"/>
      <w:szCs w:val="28"/>
    </w:rPr>
  </w:style>
  <w:style w:type="paragraph" w:styleId="933" w:customStyle="1">
    <w:name w:val="1KG=K9"/>
    <w:pPr>
      <w:spacing w:after="0" w:line="240" w:lineRule="auto"/>
    </w:pPr>
    <w:rPr>
      <w:rFonts w:ascii="MS Sans Serif" w:hAnsi="MS Sans Serif" w:eastAsia="Times New Roman" w:cs="Times New Roman"/>
      <w:sz w:val="20"/>
      <w:szCs w:val="24"/>
      <w:lang w:eastAsia="ru-RU"/>
    </w:rPr>
  </w:style>
  <w:style w:type="paragraph" w:styleId="93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>
    <w:name w:val="Body Text First Indent"/>
    <w:basedOn w:val="898"/>
    <w:link w:val="936"/>
    <w:uiPriority w:val="99"/>
    <w:semiHidden/>
    <w:unhideWhenUsed/>
    <w:pPr>
      <w:ind w:firstLine="360"/>
    </w:pPr>
    <w:rPr>
      <w:sz w:val="24"/>
    </w:rPr>
  </w:style>
  <w:style w:type="character" w:styleId="936" w:customStyle="1">
    <w:name w:val="Красная строка Знак"/>
    <w:basedOn w:val="899"/>
    <w:link w:val="93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>
    <w:name w:val="Document Map"/>
    <w:basedOn w:val="887"/>
    <w:link w:val="938"/>
    <w:uiPriority w:val="99"/>
    <w:semiHidden/>
    <w:pPr>
      <w:ind w:left="640" w:firstLine="720"/>
      <w:jc w:val="both"/>
      <w:spacing w:line="300" w:lineRule="auto"/>
      <w:shd w:val="clear" w:color="auto" w:fill="000080"/>
      <w:widowControl w:val="off"/>
    </w:pPr>
    <w:rPr>
      <w:rFonts w:ascii="Tahoma" w:hAnsi="Tahoma" w:cs="Tahoma"/>
      <w:sz w:val="20"/>
      <w:szCs w:val="20"/>
    </w:rPr>
  </w:style>
  <w:style w:type="character" w:styleId="938" w:customStyle="1">
    <w:name w:val="Схема документа Знак"/>
    <w:basedOn w:val="890"/>
    <w:link w:val="937"/>
    <w:uiPriority w:val="99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character" w:styleId="939" w:customStyle="1">
    <w:name w:val="Основной текст + 8;5 pt"/>
    <w:basedOn w:val="890"/>
    <w:rPr>
      <w:rFonts w:ascii="Times New Roman" w:hAnsi="Times New Roman" w:eastAsia="Times New Roman" w:cs="Times New Roman"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table" w:styleId="940" w:customStyle="1">
    <w:name w:val="Сетка таблицы1"/>
    <w:basedOn w:val="891"/>
    <w:next w:val="9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1" w:customStyle="1">
    <w:name w:val="Сетка таблицы2"/>
    <w:basedOn w:val="891"/>
    <w:next w:val="9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2">
    <w:name w:val="TOC Heading"/>
    <w:basedOn w:val="888"/>
    <w:next w:val="887"/>
    <w:uiPriority w:val="39"/>
    <w:unhideWhenUsed/>
    <w:qFormat/>
    <w:pPr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943">
    <w:name w:val="toc 1"/>
    <w:basedOn w:val="887"/>
    <w:next w:val="887"/>
    <w:uiPriority w:val="39"/>
    <w:unhideWhenUsed/>
    <w:pPr>
      <w:spacing w:after="100"/>
    </w:pPr>
  </w:style>
  <w:style w:type="character" w:styleId="944">
    <w:name w:val="Hyperlink"/>
    <w:basedOn w:val="890"/>
    <w:uiPriority w:val="99"/>
    <w:unhideWhenUsed/>
    <w:rPr>
      <w:color w:val="0000ff" w:themeColor="hyperlink"/>
      <w:u w:val="single"/>
    </w:rPr>
  </w:style>
  <w:style w:type="paragraph" w:styleId="945">
    <w:name w:val="toc 2"/>
    <w:basedOn w:val="887"/>
    <w:next w:val="887"/>
    <w:uiPriority w:val="39"/>
    <w:unhideWhenUsed/>
    <w:pPr>
      <w:ind w:left="220"/>
      <w:spacing w:after="100" w:line="259" w:lineRule="auto"/>
    </w:pPr>
    <w:rPr>
      <w:rFonts w:asciiTheme="minorHAnsi" w:hAnsiTheme="minorHAnsi" w:eastAsiaTheme="minorEastAsia"/>
      <w:sz w:val="22"/>
      <w:szCs w:val="22"/>
    </w:rPr>
  </w:style>
  <w:style w:type="paragraph" w:styleId="946">
    <w:name w:val="toc 3"/>
    <w:basedOn w:val="887"/>
    <w:next w:val="887"/>
    <w:uiPriority w:val="39"/>
    <w:unhideWhenUsed/>
    <w:pPr>
      <w:ind w:left="440"/>
      <w:spacing w:after="100" w:line="259" w:lineRule="auto"/>
    </w:pPr>
    <w:rPr>
      <w:rFonts w:asciiTheme="minorHAnsi" w:hAnsiTheme="minorHAnsi" w:eastAsiaTheme="minorEastAsia"/>
      <w:sz w:val="22"/>
      <w:szCs w:val="22"/>
    </w:rPr>
  </w:style>
  <w:style w:type="character" w:styleId="947">
    <w:name w:val="FollowedHyperlink"/>
    <w:basedOn w:val="890"/>
    <w:uiPriority w:val="99"/>
    <w:semiHidden/>
    <w:unhideWhenUsed/>
    <w:rPr>
      <w:color w:val="800080" w:themeColor="followedHyperlink"/>
      <w:u w:val="single"/>
    </w:rPr>
  </w:style>
  <w:style w:type="paragraph" w:styleId="948">
    <w:name w:val="Body Text Indent 2"/>
    <w:basedOn w:val="887"/>
    <w:link w:val="949"/>
    <w:uiPriority w:val="99"/>
    <w:pPr>
      <w:ind w:left="283"/>
      <w:spacing w:after="120" w:line="480" w:lineRule="auto"/>
    </w:pPr>
  </w:style>
  <w:style w:type="character" w:styleId="949" w:customStyle="1">
    <w:name w:val="Основной текст с отступом 2 Знак"/>
    <w:basedOn w:val="890"/>
    <w:link w:val="94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0" w:customStyle="1">
    <w:name w:val="Заголовок 2 Знак"/>
    <w:basedOn w:val="890"/>
    <w:link w:val="88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numbering" w:styleId="951" w:customStyle="1">
    <w:name w:val="Нет списка1"/>
    <w:next w:val="892"/>
    <w:uiPriority w:val="99"/>
    <w:semiHidden/>
    <w:unhideWhenUsed/>
  </w:style>
  <w:style w:type="character" w:styleId="952" w:customStyle="1">
    <w:name w:val="Font Style1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953">
    <w:name w:val="Subtitle"/>
    <w:basedOn w:val="887"/>
    <w:next w:val="887"/>
    <w:link w:val="954"/>
    <w:qFormat/>
    <w:pPr>
      <w:jc w:val="center"/>
      <w:spacing w:after="60"/>
      <w:outlineLvl w:val="1"/>
    </w:pPr>
    <w:rPr>
      <w:rFonts w:ascii="Cambria" w:hAnsi="Cambria"/>
    </w:rPr>
  </w:style>
  <w:style w:type="character" w:styleId="954" w:customStyle="1">
    <w:name w:val="Подзаголовок Знак"/>
    <w:basedOn w:val="890"/>
    <w:link w:val="953"/>
    <w:rPr>
      <w:rFonts w:ascii="Cambria" w:hAnsi="Cambria" w:eastAsia="Times New Roman" w:cs="Times New Roman"/>
      <w:sz w:val="24"/>
      <w:szCs w:val="24"/>
    </w:rPr>
  </w:style>
  <w:style w:type="character" w:styleId="955" w:customStyle="1">
    <w:name w:val="c3"/>
  </w:style>
  <w:style w:type="paragraph" w:styleId="956">
    <w:name w:val="Header"/>
    <w:basedOn w:val="887"/>
    <w:link w:val="957"/>
    <w:uiPriority w:val="99"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890"/>
    <w:link w:val="956"/>
    <w:uiPriority w:val="99"/>
    <w:rPr>
      <w:rFonts w:ascii="Times New Roman" w:hAnsi="Times New Roman" w:eastAsia="Times New Roman" w:cs="Times New Roman"/>
      <w:sz w:val="24"/>
      <w:szCs w:val="24"/>
    </w:rPr>
  </w:style>
  <w:style w:type="table" w:styleId="958" w:customStyle="1">
    <w:name w:val="Сетка таблицы3"/>
    <w:basedOn w:val="891"/>
    <w:next w:val="9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9" w:customStyle="1">
    <w:name w:val="Обычный (веб) Знак"/>
    <w:link w:val="916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60" w:customStyle="1">
    <w:name w:val="Сетка таблицы4"/>
    <w:basedOn w:val="891"/>
    <w:next w:val="9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1" w:customStyle="1">
    <w:name w:val="Сетка таблицы5"/>
    <w:basedOn w:val="891"/>
    <w:next w:val="9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2" w:customStyle="1">
    <w:name w:val="Сетка таблицы6"/>
    <w:basedOn w:val="891"/>
    <w:next w:val="92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3">
    <w:name w:val="Footer"/>
    <w:basedOn w:val="887"/>
    <w:link w:val="9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890"/>
    <w:link w:val="96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5" w:customStyle="1">
    <w:name w:val="Абзац списка Знак"/>
    <w:link w:val="904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6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67" w:customStyle="1">
    <w:name w:val="Заголовок №2_"/>
    <w:basedOn w:val="890"/>
    <w:link w:val="968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68" w:customStyle="1">
    <w:name w:val="Заголовок №2"/>
    <w:basedOn w:val="887"/>
    <w:link w:val="967"/>
    <w:pPr>
      <w:jc w:val="center"/>
      <w:spacing w:after="160" w:line="257" w:lineRule="auto"/>
      <w:shd w:val="clear" w:color="auto" w:fill="ffffff"/>
      <w:widowControl w:val="off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2F6B-F6FD-43D5-986A-87E8E921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Галина Федоровна</dc:creator>
  <cp:revision>8</cp:revision>
  <dcterms:created xsi:type="dcterms:W3CDTF">2023-12-27T06:50:00Z</dcterms:created>
  <dcterms:modified xsi:type="dcterms:W3CDTF">2024-12-18T07:10:07Z</dcterms:modified>
</cp:coreProperties>
</file>