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EC58B8" w:rsidRPr="00D635D4">
        <w:rPr>
          <w:b/>
          <w:sz w:val="28"/>
          <w:szCs w:val="28"/>
        </w:rPr>
        <w:t xml:space="preserve"> </w:t>
      </w:r>
      <w:r w:rsidR="00185AF1" w:rsidRPr="00D635D4">
        <w:rPr>
          <w:b/>
          <w:sz w:val="28"/>
          <w:szCs w:val="28"/>
        </w:rPr>
        <w:t>202</w:t>
      </w:r>
      <w:r w:rsidR="00EC58B8" w:rsidRPr="00D635D4">
        <w:rPr>
          <w:b/>
          <w:sz w:val="28"/>
          <w:szCs w:val="28"/>
        </w:rPr>
        <w:t>1</w:t>
      </w:r>
      <w:r w:rsidR="00185AF1" w:rsidRPr="00D635D4">
        <w:rPr>
          <w:b/>
          <w:sz w:val="28"/>
          <w:szCs w:val="28"/>
        </w:rPr>
        <w:t xml:space="preserve"> год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0D79AB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619D" w:rsidRPr="00D635D4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В соответствии с Федеральным законом от 05.04.2013 №44-ФЗ</w:t>
      </w:r>
      <w:r w:rsidR="00A2264F" w:rsidRPr="00D635D4">
        <w:rPr>
          <w:sz w:val="28"/>
          <w:szCs w:val="28"/>
        </w:rPr>
        <w:t xml:space="preserve">                                    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>О контрактной системе в сфере закупок товаров, работ, услуг для                   государственных и муниципальных нужд</w:t>
      </w:r>
      <w:r w:rsidR="002F1032">
        <w:rPr>
          <w:sz w:val="28"/>
          <w:szCs w:val="28"/>
        </w:rPr>
        <w:t>»</w:t>
      </w:r>
      <w:r w:rsidRPr="00D635D4">
        <w:rPr>
          <w:sz w:val="28"/>
          <w:szCs w:val="28"/>
        </w:rPr>
        <w:t xml:space="preserve">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</w:t>
      </w:r>
      <w:r w:rsidR="00EB0D67" w:rsidRPr="00D635D4">
        <w:rPr>
          <w:sz w:val="28"/>
          <w:szCs w:val="28"/>
        </w:rPr>
        <w:t>21</w:t>
      </w:r>
      <w:r w:rsidRPr="00D635D4">
        <w:rPr>
          <w:sz w:val="28"/>
          <w:szCs w:val="28"/>
        </w:rPr>
        <w:t xml:space="preserve"> год принят</w:t>
      </w:r>
      <w:r w:rsidR="0074619D" w:rsidRPr="00D635D4">
        <w:rPr>
          <w:sz w:val="28"/>
          <w:szCs w:val="28"/>
        </w:rPr>
        <w:t>ы</w:t>
      </w:r>
      <w:r w:rsidRPr="00D635D4">
        <w:rPr>
          <w:sz w:val="28"/>
          <w:szCs w:val="28"/>
        </w:rPr>
        <w:t xml:space="preserve"> правов</w:t>
      </w:r>
      <w:r w:rsidR="0074619D" w:rsidRPr="00D635D4">
        <w:rPr>
          <w:sz w:val="28"/>
          <w:szCs w:val="28"/>
        </w:rPr>
        <w:t xml:space="preserve">ые </w:t>
      </w:r>
      <w:r w:rsidRPr="00D635D4">
        <w:rPr>
          <w:sz w:val="28"/>
          <w:szCs w:val="28"/>
        </w:rPr>
        <w:t>акт</w:t>
      </w:r>
      <w:r w:rsidR="0074619D" w:rsidRPr="00D635D4">
        <w:rPr>
          <w:sz w:val="28"/>
          <w:szCs w:val="28"/>
        </w:rPr>
        <w:t>ы</w:t>
      </w:r>
      <w:r w:rsidRPr="00D635D4">
        <w:rPr>
          <w:sz w:val="28"/>
          <w:szCs w:val="28"/>
        </w:rPr>
        <w:t xml:space="preserve"> в сфере закупок товаров, работ и услуг</w:t>
      </w:r>
      <w:r w:rsidR="0074619D" w:rsidRPr="00D635D4">
        <w:rPr>
          <w:sz w:val="28"/>
          <w:szCs w:val="28"/>
        </w:rPr>
        <w:t>:</w:t>
      </w:r>
    </w:p>
    <w:p w:rsidR="00964DE2" w:rsidRPr="00D635D4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</w:t>
      </w:r>
      <w:r w:rsidR="00EC58B8" w:rsidRPr="00D635D4">
        <w:rPr>
          <w:sz w:val="28"/>
          <w:szCs w:val="28"/>
        </w:rPr>
        <w:t>10.03.2021</w:t>
      </w:r>
      <w:r w:rsidRPr="00D635D4">
        <w:rPr>
          <w:sz w:val="28"/>
          <w:szCs w:val="28"/>
        </w:rPr>
        <w:t xml:space="preserve"> №</w:t>
      </w:r>
      <w:r w:rsidR="00EC58B8" w:rsidRPr="00D635D4">
        <w:rPr>
          <w:sz w:val="28"/>
          <w:szCs w:val="28"/>
        </w:rPr>
        <w:t>186</w:t>
      </w:r>
      <w:r w:rsidRPr="00D635D4">
        <w:rPr>
          <w:sz w:val="28"/>
          <w:szCs w:val="28"/>
        </w:rPr>
        <w:t xml:space="preserve"> </w:t>
      </w:r>
      <w:r w:rsidR="002F1032">
        <w:rPr>
          <w:rFonts w:eastAsia="Calibri"/>
          <w:sz w:val="28"/>
          <w:szCs w:val="28"/>
        </w:rPr>
        <w:t>«</w:t>
      </w:r>
      <w:hyperlink r:id="rId8" w:history="1">
        <w:r w:rsidR="00EC58B8" w:rsidRPr="00D635D4">
          <w:rPr>
            <w:bCs/>
            <w:sz w:val="28"/>
            <w:szCs w:val="28"/>
          </w:rPr>
          <w:t xml:space="preserve">О внесении изменений в приложения 2, 4 к постановлению администрации города                                   от 31.07.2020 №653 </w:t>
        </w:r>
        <w:r w:rsidR="002F1032">
          <w:rPr>
            <w:bCs/>
            <w:sz w:val="28"/>
            <w:szCs w:val="28"/>
          </w:rPr>
          <w:t>«</w:t>
        </w:r>
        <w:r w:rsidR="00EC58B8" w:rsidRPr="00D635D4">
          <w:rPr>
            <w:bCs/>
            <w:sz w:val="28"/>
            <w:szCs w:val="28"/>
          </w:rPr>
  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  </w:r>
        <w:r w:rsidR="002F1032">
          <w:rPr>
            <w:bCs/>
            <w:sz w:val="28"/>
            <w:szCs w:val="28"/>
          </w:rPr>
          <w:t>»</w:t>
        </w:r>
        <w:r w:rsidR="00EC58B8" w:rsidRPr="00D635D4">
          <w:rPr>
            <w:bCs/>
            <w:sz w:val="28"/>
            <w:szCs w:val="28"/>
          </w:rPr>
          <w:t xml:space="preserve"> (с изменением от 29.12.2020 №1126)</w:t>
        </w:r>
      </w:hyperlink>
      <w:r w:rsidR="002F1032">
        <w:rPr>
          <w:rFonts w:eastAsia="Calibri"/>
          <w:sz w:val="28"/>
          <w:szCs w:val="28"/>
        </w:rPr>
        <w:t>»</w:t>
      </w:r>
      <w:r w:rsidR="00EC58B8" w:rsidRPr="00D635D4">
        <w:rPr>
          <w:rFonts w:eastAsia="Calibri"/>
          <w:sz w:val="28"/>
          <w:szCs w:val="28"/>
        </w:rPr>
        <w:t>.</w:t>
      </w:r>
    </w:p>
    <w:p w:rsidR="00023803" w:rsidRPr="00D635D4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30.04.2021 №353 </w:t>
      </w:r>
      <w:r w:rsidR="002F1032">
        <w:rPr>
          <w:rFonts w:eastAsia="Calibri"/>
          <w:sz w:val="28"/>
          <w:szCs w:val="28"/>
        </w:rPr>
        <w:t>«</w:t>
      </w:r>
      <w:r w:rsidRPr="00D635D4">
        <w:rPr>
          <w:sz w:val="28"/>
          <w:szCs w:val="28"/>
        </w:rPr>
        <w:t xml:space="preserve">О внесении изменений в постановление администрации города от 19.10.2018 №1312 </w:t>
      </w:r>
      <w:r w:rsidR="00383A37" w:rsidRPr="00D635D4">
        <w:rPr>
          <w:sz w:val="28"/>
          <w:szCs w:val="28"/>
        </w:rPr>
        <w:t xml:space="preserve">                       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>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</w:t>
      </w:r>
      <w:r w:rsidR="002F1032">
        <w:rPr>
          <w:sz w:val="28"/>
          <w:szCs w:val="28"/>
        </w:rPr>
        <w:t>»</w:t>
      </w:r>
      <w:r w:rsidRPr="00D635D4">
        <w:rPr>
          <w:sz w:val="28"/>
          <w:szCs w:val="28"/>
        </w:rPr>
        <w:t xml:space="preserve"> </w:t>
      </w:r>
      <w:r w:rsidR="00383A37" w:rsidRPr="00D635D4">
        <w:rPr>
          <w:sz w:val="28"/>
          <w:szCs w:val="28"/>
        </w:rPr>
        <w:t xml:space="preserve">                                   </w:t>
      </w:r>
      <w:r w:rsidRPr="00D635D4">
        <w:rPr>
          <w:sz w:val="28"/>
          <w:szCs w:val="28"/>
        </w:rPr>
        <w:t>(с изменениями от 20.06.2019 №478, 22.10.2019 №871, 29.07.2020 №649)</w:t>
      </w:r>
      <w:r w:rsidR="002F1032">
        <w:rPr>
          <w:rFonts w:eastAsia="Calibri"/>
          <w:sz w:val="28"/>
          <w:szCs w:val="28"/>
        </w:rPr>
        <w:t>»</w:t>
      </w:r>
      <w:r w:rsidRPr="00D635D4">
        <w:rPr>
          <w:sz w:val="28"/>
          <w:szCs w:val="28"/>
        </w:rPr>
        <w:t>;</w:t>
      </w:r>
    </w:p>
    <w:p w:rsidR="009003EE" w:rsidRPr="009003EE" w:rsidRDefault="00023803" w:rsidP="009003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</w:t>
      </w:r>
      <w:r w:rsidR="00383A37" w:rsidRPr="00D635D4">
        <w:rPr>
          <w:sz w:val="28"/>
          <w:szCs w:val="28"/>
        </w:rPr>
        <w:t>п</w:t>
      </w:r>
      <w:r w:rsidRPr="00D635D4">
        <w:rPr>
          <w:sz w:val="28"/>
          <w:szCs w:val="28"/>
        </w:rPr>
        <w:t>остановлени</w:t>
      </w:r>
      <w:r w:rsidR="00383A37" w:rsidRPr="00D635D4">
        <w:rPr>
          <w:sz w:val="28"/>
          <w:szCs w:val="28"/>
        </w:rPr>
        <w:t>е</w:t>
      </w:r>
      <w:r w:rsidRPr="00D635D4">
        <w:rPr>
          <w:sz w:val="28"/>
          <w:szCs w:val="28"/>
        </w:rPr>
        <w:t xml:space="preserve"> администрации города от 23.04.2021 №331 </w:t>
      </w:r>
      <w:r w:rsidR="002F1032">
        <w:rPr>
          <w:rFonts w:eastAsia="Calibri"/>
          <w:sz w:val="28"/>
          <w:szCs w:val="28"/>
        </w:rPr>
        <w:t>«</w:t>
      </w:r>
      <w:r w:rsidRPr="00D635D4">
        <w:rPr>
          <w:sz w:val="28"/>
          <w:szCs w:val="28"/>
        </w:rPr>
        <w:t xml:space="preserve">О внесении изменений в приложения 1, 2 к постановлению администрации города </w:t>
      </w:r>
      <w:r w:rsidR="00D635D4">
        <w:rPr>
          <w:sz w:val="28"/>
          <w:szCs w:val="28"/>
        </w:rPr>
        <w:t xml:space="preserve">                           </w:t>
      </w:r>
      <w:r w:rsidRPr="00D635D4">
        <w:rPr>
          <w:sz w:val="28"/>
          <w:szCs w:val="28"/>
        </w:rPr>
        <w:t xml:space="preserve">от 08.12.2015 №2178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города </w:t>
      </w:r>
      <w:r w:rsidRPr="009003EE">
        <w:rPr>
          <w:sz w:val="28"/>
          <w:szCs w:val="28"/>
        </w:rPr>
        <w:t>Нижневартовска и подведомственных им муниципальных казенных учреждений</w:t>
      </w:r>
      <w:r w:rsidR="002F1032" w:rsidRPr="009003EE">
        <w:rPr>
          <w:sz w:val="28"/>
          <w:szCs w:val="28"/>
        </w:rPr>
        <w:t>»</w:t>
      </w:r>
      <w:r w:rsidRPr="009003EE">
        <w:rPr>
          <w:sz w:val="28"/>
          <w:szCs w:val="28"/>
        </w:rPr>
        <w:t xml:space="preserve"> (с изменениями от 06.06.2016 №820, 13.07.2016 №1035, 13.10.2016 №1493, 12.12.2016 №1806, 18.08.2017 №1276)</w:t>
      </w:r>
      <w:r w:rsidR="002F1032" w:rsidRPr="009003EE">
        <w:rPr>
          <w:rFonts w:eastAsia="Calibri"/>
          <w:sz w:val="28"/>
          <w:szCs w:val="28"/>
        </w:rPr>
        <w:t>»</w:t>
      </w:r>
      <w:r w:rsidR="00383A37" w:rsidRPr="009003EE">
        <w:rPr>
          <w:rFonts w:eastAsia="Calibri"/>
          <w:sz w:val="28"/>
          <w:szCs w:val="28"/>
        </w:rPr>
        <w:t>;</w:t>
      </w:r>
    </w:p>
    <w:p w:rsidR="009003EE" w:rsidRPr="009003EE" w:rsidRDefault="009003EE" w:rsidP="009003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03EE">
        <w:rPr>
          <w:rFonts w:eastAsia="Calibri"/>
          <w:sz w:val="28"/>
          <w:szCs w:val="28"/>
        </w:rPr>
        <w:t xml:space="preserve">- </w:t>
      </w:r>
      <w:r w:rsidRPr="009003EE">
        <w:rPr>
          <w:sz w:val="28"/>
          <w:szCs w:val="28"/>
        </w:rPr>
        <w:t>постановление Администрации города</w:t>
      </w:r>
      <w:r>
        <w:rPr>
          <w:sz w:val="28"/>
          <w:szCs w:val="28"/>
        </w:rPr>
        <w:t xml:space="preserve"> Нижневартовска от 11.05.2021 №</w:t>
      </w:r>
      <w:r w:rsidRPr="009003EE">
        <w:rPr>
          <w:sz w:val="28"/>
          <w:szCs w:val="28"/>
        </w:rPr>
        <w:t>369</w:t>
      </w:r>
      <w:r>
        <w:rPr>
          <w:sz w:val="28"/>
          <w:szCs w:val="28"/>
        </w:rPr>
        <w:t xml:space="preserve"> «</w:t>
      </w:r>
      <w:r w:rsidRPr="009003EE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 xml:space="preserve">                           от 31.12.2015 №</w:t>
      </w:r>
      <w:r w:rsidRPr="009003EE">
        <w:rPr>
          <w:sz w:val="28"/>
          <w:szCs w:val="28"/>
        </w:rPr>
        <w:t xml:space="preserve">2370 </w:t>
      </w:r>
      <w:r>
        <w:rPr>
          <w:sz w:val="28"/>
          <w:szCs w:val="28"/>
        </w:rPr>
        <w:t>«</w:t>
      </w:r>
      <w:r w:rsidRPr="009003EE">
        <w:rPr>
          <w:sz w:val="28"/>
          <w:szCs w:val="28"/>
        </w:rPr>
        <w:t>О создании контрактных служб администрации города Нижневартовска</w:t>
      </w:r>
      <w:r>
        <w:rPr>
          <w:sz w:val="28"/>
          <w:szCs w:val="28"/>
        </w:rPr>
        <w:t>»</w:t>
      </w:r>
      <w:r w:rsidRPr="009003EE">
        <w:rPr>
          <w:sz w:val="28"/>
          <w:szCs w:val="28"/>
        </w:rPr>
        <w:t xml:space="preserve"> (с изменениями от 02.03.2017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 xml:space="preserve">284, 26.01.2018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 xml:space="preserve">93, 20.06.2018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 xml:space="preserve">867, 21.04.2020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 xml:space="preserve">357, 04.06.2020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 xml:space="preserve">500, 23.07.2020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 xml:space="preserve">632, 30.12.2020 </w:t>
      </w:r>
      <w:r>
        <w:rPr>
          <w:sz w:val="28"/>
          <w:szCs w:val="28"/>
        </w:rPr>
        <w:t>№</w:t>
      </w:r>
      <w:r w:rsidRPr="009003EE">
        <w:rPr>
          <w:sz w:val="28"/>
          <w:szCs w:val="28"/>
        </w:rPr>
        <w:t>1127)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023803" w:rsidRPr="00D635D4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03EE">
        <w:rPr>
          <w:sz w:val="28"/>
          <w:szCs w:val="28"/>
        </w:rPr>
        <w:t xml:space="preserve">- постановление администрации города от 02.06.2021 №444 </w:t>
      </w:r>
      <w:r w:rsidR="002F1032" w:rsidRPr="009003EE">
        <w:rPr>
          <w:rFonts w:eastAsia="Calibri"/>
          <w:sz w:val="28"/>
          <w:szCs w:val="28"/>
        </w:rPr>
        <w:t>«</w:t>
      </w:r>
      <w:r w:rsidRPr="009003EE">
        <w:rPr>
          <w:sz w:val="28"/>
          <w:szCs w:val="28"/>
        </w:rPr>
        <w:t>О внесении изменений в приложение</w:t>
      </w:r>
      <w:r w:rsidRPr="00D635D4">
        <w:rPr>
          <w:sz w:val="28"/>
          <w:szCs w:val="28"/>
        </w:rPr>
        <w:t xml:space="preserve"> 1 к постановлению администрации города </w:t>
      </w:r>
      <w:r w:rsidR="009003EE">
        <w:rPr>
          <w:sz w:val="28"/>
          <w:szCs w:val="28"/>
        </w:rPr>
        <w:t xml:space="preserve">                            </w:t>
      </w:r>
      <w:r w:rsidRPr="00D635D4">
        <w:rPr>
          <w:sz w:val="28"/>
          <w:szCs w:val="28"/>
        </w:rPr>
        <w:t xml:space="preserve">от 19.12.2013 №2681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2F1032">
        <w:rPr>
          <w:sz w:val="28"/>
          <w:szCs w:val="28"/>
        </w:rPr>
        <w:t>»</w:t>
      </w:r>
      <w:r w:rsidRPr="00D635D4">
        <w:rPr>
          <w:sz w:val="28"/>
          <w:szCs w:val="28"/>
        </w:rPr>
        <w:t xml:space="preserve"> </w:t>
      </w:r>
      <w:r w:rsidR="009003EE">
        <w:rPr>
          <w:sz w:val="28"/>
          <w:szCs w:val="28"/>
        </w:rPr>
        <w:t xml:space="preserve">                            </w:t>
      </w:r>
      <w:r w:rsidRPr="00D635D4">
        <w:rPr>
          <w:sz w:val="28"/>
          <w:szCs w:val="28"/>
        </w:rPr>
        <w:t>(с изменениями</w:t>
      </w:r>
      <w:r w:rsidR="00D635D4">
        <w:rPr>
          <w:sz w:val="28"/>
          <w:szCs w:val="28"/>
        </w:rPr>
        <w:t xml:space="preserve"> </w:t>
      </w:r>
      <w:r w:rsidRPr="00D635D4">
        <w:rPr>
          <w:sz w:val="28"/>
          <w:szCs w:val="28"/>
        </w:rPr>
        <w:t>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№1046)</w:t>
      </w:r>
      <w:r w:rsidR="002F1032">
        <w:rPr>
          <w:rFonts w:eastAsia="Calibri"/>
          <w:sz w:val="28"/>
          <w:szCs w:val="28"/>
        </w:rPr>
        <w:t>»</w:t>
      </w:r>
      <w:r w:rsidR="00EC2327" w:rsidRPr="00D635D4">
        <w:rPr>
          <w:rFonts w:eastAsia="Calibri"/>
          <w:sz w:val="28"/>
          <w:szCs w:val="28"/>
        </w:rPr>
        <w:t>;</w:t>
      </w:r>
    </w:p>
    <w:p w:rsidR="00EC2327" w:rsidRPr="00D635D4" w:rsidRDefault="00EC2327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28.07.2021 №624 </w:t>
      </w:r>
      <w:r w:rsidR="002F1032">
        <w:rPr>
          <w:rFonts w:eastAsia="Calibri"/>
          <w:sz w:val="28"/>
          <w:szCs w:val="28"/>
        </w:rPr>
        <w:t>«</w:t>
      </w:r>
      <w:r w:rsidRPr="00D635D4">
        <w:rPr>
          <w:sz w:val="28"/>
          <w:szCs w:val="28"/>
        </w:rPr>
        <w:t xml:space="preserve">О внесении </w:t>
      </w:r>
      <w:r w:rsidRPr="00D635D4">
        <w:rPr>
          <w:sz w:val="28"/>
          <w:szCs w:val="28"/>
        </w:rPr>
        <w:lastRenderedPageBreak/>
        <w:t xml:space="preserve">изменения в приложение к постановлению администрации города </w:t>
      </w:r>
      <w:r w:rsidR="00D635D4">
        <w:rPr>
          <w:sz w:val="28"/>
          <w:szCs w:val="28"/>
        </w:rPr>
        <w:t xml:space="preserve">                                  </w:t>
      </w:r>
      <w:r w:rsidRPr="00D635D4">
        <w:rPr>
          <w:sz w:val="28"/>
          <w:szCs w:val="28"/>
        </w:rPr>
        <w:t xml:space="preserve">от 21.12.2015 №2285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 xml:space="preserve">Об утверждении Правил определения требований </w:t>
      </w:r>
      <w:r w:rsidR="00D635D4">
        <w:rPr>
          <w:sz w:val="28"/>
          <w:szCs w:val="28"/>
        </w:rPr>
        <w:t xml:space="preserve">                       </w:t>
      </w:r>
      <w:r w:rsidRPr="00D635D4">
        <w:rPr>
          <w:sz w:val="28"/>
          <w:szCs w:val="28"/>
        </w:rPr>
        <w:t xml:space="preserve">к закупаемым органами местного самоуправления города Нижневартовска </w:t>
      </w:r>
      <w:r w:rsidR="00D635D4">
        <w:rPr>
          <w:sz w:val="28"/>
          <w:szCs w:val="28"/>
        </w:rPr>
        <w:t xml:space="preserve">               </w:t>
      </w:r>
      <w:r w:rsidRPr="00D635D4">
        <w:rPr>
          <w:sz w:val="28"/>
          <w:szCs w:val="28"/>
        </w:rPr>
        <w:t xml:space="preserve">и подведомственными им казенными, бюджетными учреждениями </w:t>
      </w:r>
      <w:r w:rsidR="00D635D4">
        <w:rPr>
          <w:sz w:val="28"/>
          <w:szCs w:val="28"/>
        </w:rPr>
        <w:t xml:space="preserve">                                 </w:t>
      </w:r>
      <w:r w:rsidRPr="00D635D4">
        <w:rPr>
          <w:sz w:val="28"/>
          <w:szCs w:val="28"/>
        </w:rPr>
        <w:t>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2F1032">
        <w:rPr>
          <w:sz w:val="28"/>
          <w:szCs w:val="28"/>
        </w:rPr>
        <w:t>»</w:t>
      </w:r>
      <w:r w:rsidRPr="00D635D4">
        <w:rPr>
          <w:sz w:val="28"/>
          <w:szCs w:val="28"/>
        </w:rPr>
        <w:t xml:space="preserve"> </w:t>
      </w:r>
      <w:r w:rsidR="00D635D4">
        <w:rPr>
          <w:sz w:val="28"/>
          <w:szCs w:val="28"/>
        </w:rPr>
        <w:t xml:space="preserve">                                     </w:t>
      </w:r>
      <w:r w:rsidRPr="00D635D4">
        <w:rPr>
          <w:sz w:val="28"/>
          <w:szCs w:val="28"/>
        </w:rPr>
        <w:t>(с изменениями от 01.06.2016 №792, 31.01.2017 №122, 31.08.2017 №1340)</w:t>
      </w:r>
      <w:r w:rsidR="002F1032">
        <w:rPr>
          <w:rFonts w:eastAsia="Calibri"/>
          <w:sz w:val="28"/>
          <w:szCs w:val="28"/>
        </w:rPr>
        <w:t>»</w:t>
      </w:r>
      <w:r w:rsidRPr="00D635D4">
        <w:rPr>
          <w:rFonts w:eastAsia="Calibri"/>
          <w:sz w:val="28"/>
          <w:szCs w:val="28"/>
        </w:rPr>
        <w:t>;</w:t>
      </w:r>
    </w:p>
    <w:p w:rsidR="00EC2327" w:rsidRPr="00D635D4" w:rsidRDefault="00EC2327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11.08.2021 №673 </w:t>
      </w:r>
      <w:r w:rsidR="002F1032">
        <w:rPr>
          <w:rFonts w:eastAsia="Calibri"/>
          <w:sz w:val="28"/>
          <w:szCs w:val="28"/>
        </w:rPr>
        <w:t>«</w:t>
      </w:r>
      <w:r w:rsidRPr="00D635D4">
        <w:rPr>
          <w:sz w:val="28"/>
          <w:szCs w:val="28"/>
        </w:rPr>
        <w:t xml:space="preserve">О внесении изменений в постановление администрации города от 19.10.2018 №1312                        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>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</w:t>
      </w:r>
      <w:r w:rsidR="002F1032">
        <w:rPr>
          <w:sz w:val="28"/>
          <w:szCs w:val="28"/>
        </w:rPr>
        <w:t>»</w:t>
      </w:r>
      <w:r w:rsidRPr="00D635D4">
        <w:rPr>
          <w:sz w:val="28"/>
          <w:szCs w:val="28"/>
        </w:rPr>
        <w:t xml:space="preserve"> </w:t>
      </w:r>
      <w:r w:rsidR="00D635D4">
        <w:rPr>
          <w:sz w:val="28"/>
          <w:szCs w:val="28"/>
        </w:rPr>
        <w:t xml:space="preserve">                           </w:t>
      </w:r>
      <w:r w:rsidRPr="00D635D4">
        <w:rPr>
          <w:sz w:val="28"/>
          <w:szCs w:val="28"/>
        </w:rPr>
        <w:t>(с изменениями от 20.06.2019 №478, 22.10.2019 №871, 29.07.2020 №649, 30.04.2021 №353)</w:t>
      </w:r>
      <w:r w:rsidR="002F1032">
        <w:rPr>
          <w:rFonts w:eastAsia="Calibri"/>
          <w:sz w:val="28"/>
          <w:szCs w:val="28"/>
        </w:rPr>
        <w:t>»</w:t>
      </w:r>
      <w:r w:rsidRPr="00D635D4">
        <w:rPr>
          <w:rFonts w:eastAsia="Calibri"/>
          <w:sz w:val="28"/>
          <w:szCs w:val="28"/>
        </w:rPr>
        <w:t>;</w:t>
      </w:r>
    </w:p>
    <w:p w:rsidR="003D083A" w:rsidRDefault="00EC2327" w:rsidP="003D08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09.08.2021 №664 </w:t>
      </w:r>
      <w:r w:rsidR="002F1032">
        <w:rPr>
          <w:rFonts w:eastAsia="Calibri"/>
          <w:sz w:val="28"/>
          <w:szCs w:val="28"/>
        </w:rPr>
        <w:t>«</w:t>
      </w:r>
      <w:r w:rsidRPr="00D635D4">
        <w:rPr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D635D4">
        <w:rPr>
          <w:sz w:val="28"/>
          <w:szCs w:val="28"/>
        </w:rPr>
        <w:t xml:space="preserve">                                 </w:t>
      </w:r>
      <w:r w:rsidRPr="00D635D4">
        <w:rPr>
          <w:sz w:val="28"/>
          <w:szCs w:val="28"/>
        </w:rPr>
        <w:t xml:space="preserve">от 31.07.2020 №652 </w:t>
      </w:r>
      <w:r w:rsidR="002F1032">
        <w:rPr>
          <w:sz w:val="28"/>
          <w:szCs w:val="28"/>
        </w:rPr>
        <w:t>«</w:t>
      </w:r>
      <w:r w:rsidRPr="00D635D4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="002F1032">
        <w:rPr>
          <w:sz w:val="28"/>
          <w:szCs w:val="28"/>
        </w:rPr>
        <w:t>»</w:t>
      </w:r>
      <w:r w:rsidRPr="00D635D4">
        <w:rPr>
          <w:sz w:val="28"/>
          <w:szCs w:val="28"/>
        </w:rPr>
        <w:t xml:space="preserve"> (с изменениями </w:t>
      </w:r>
      <w:r w:rsidR="00D635D4">
        <w:rPr>
          <w:sz w:val="28"/>
          <w:szCs w:val="28"/>
        </w:rPr>
        <w:t xml:space="preserve">                                 </w:t>
      </w:r>
      <w:r w:rsidRPr="00D635D4">
        <w:rPr>
          <w:sz w:val="28"/>
          <w:szCs w:val="28"/>
        </w:rPr>
        <w:t>от 28.12.2020 №1121)</w:t>
      </w:r>
      <w:r w:rsidR="002F1032">
        <w:rPr>
          <w:rFonts w:eastAsia="Calibri"/>
          <w:sz w:val="28"/>
          <w:szCs w:val="28"/>
        </w:rPr>
        <w:t>»</w:t>
      </w:r>
      <w:r w:rsidR="003D083A">
        <w:rPr>
          <w:rFonts w:eastAsia="Calibri"/>
          <w:sz w:val="28"/>
          <w:szCs w:val="28"/>
        </w:rPr>
        <w:t>;</w:t>
      </w:r>
    </w:p>
    <w:p w:rsidR="002F1032" w:rsidRPr="002F1032" w:rsidRDefault="002F1032" w:rsidP="003D08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32">
        <w:rPr>
          <w:sz w:val="28"/>
          <w:szCs w:val="28"/>
        </w:rPr>
        <w:t xml:space="preserve">- постановление администрации города от 02.11.2021 №885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="00E22D01">
        <w:rPr>
          <w:sz w:val="28"/>
          <w:szCs w:val="28"/>
        </w:rPr>
        <w:t>»</w:t>
      </w:r>
      <w:r w:rsidRPr="002F1032">
        <w:rPr>
          <w:sz w:val="28"/>
          <w:szCs w:val="28"/>
        </w:rPr>
        <w:t xml:space="preserve"> (с изменениями от 28.12.2020 №1121, 09.08.2021 №664)</w:t>
      </w:r>
      <w:r w:rsidR="00E22D01">
        <w:rPr>
          <w:sz w:val="28"/>
          <w:szCs w:val="28"/>
        </w:rPr>
        <w:t>»</w:t>
      </w:r>
      <w:r w:rsidRPr="002F1032">
        <w:rPr>
          <w:sz w:val="28"/>
          <w:szCs w:val="28"/>
        </w:rPr>
        <w:t>;</w:t>
      </w:r>
    </w:p>
    <w:p w:rsidR="002F1032" w:rsidRPr="002F1032" w:rsidRDefault="002F1032" w:rsidP="003D08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1032">
        <w:rPr>
          <w:sz w:val="28"/>
          <w:szCs w:val="28"/>
        </w:rPr>
        <w:t xml:space="preserve">- постановление администрации города от 17.11.2021 №910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 xml:space="preserve">О внесении изменений в приложения 2 - 4 к постановлению администрации города </w:t>
      </w:r>
      <w:r w:rsidR="009003EE">
        <w:rPr>
          <w:sz w:val="28"/>
          <w:szCs w:val="28"/>
        </w:rPr>
        <w:t xml:space="preserve">                              </w:t>
      </w:r>
      <w:r w:rsidRPr="002F1032">
        <w:rPr>
          <w:sz w:val="28"/>
          <w:szCs w:val="28"/>
        </w:rPr>
        <w:t xml:space="preserve">от 31.07.2020 №653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 w:rsidR="00E22D01">
        <w:rPr>
          <w:sz w:val="28"/>
          <w:szCs w:val="28"/>
        </w:rPr>
        <w:t>»</w:t>
      </w:r>
      <w:r w:rsidRPr="002F1032">
        <w:rPr>
          <w:sz w:val="28"/>
          <w:szCs w:val="28"/>
        </w:rPr>
        <w:t xml:space="preserve"> (с изменениями от 29.12.2020 №1126, 10.03.2021 №186)</w:t>
      </w:r>
      <w:r w:rsidR="00E22D01">
        <w:rPr>
          <w:sz w:val="28"/>
          <w:szCs w:val="28"/>
        </w:rPr>
        <w:t>»</w:t>
      </w:r>
      <w:r w:rsidRPr="002F1032">
        <w:rPr>
          <w:sz w:val="28"/>
          <w:szCs w:val="28"/>
        </w:rPr>
        <w:t>;</w:t>
      </w:r>
    </w:p>
    <w:p w:rsidR="003D083A" w:rsidRPr="002F1032" w:rsidRDefault="003D083A" w:rsidP="003D08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32">
        <w:rPr>
          <w:rFonts w:eastAsia="Calibri"/>
          <w:sz w:val="28"/>
          <w:szCs w:val="28"/>
        </w:rPr>
        <w:t>- п</w:t>
      </w:r>
      <w:r w:rsidRPr="002F1032">
        <w:rPr>
          <w:sz w:val="28"/>
          <w:szCs w:val="28"/>
        </w:rPr>
        <w:t xml:space="preserve">остановление администрации города от 25.11.2021 №933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="00E22D01">
        <w:rPr>
          <w:sz w:val="28"/>
          <w:szCs w:val="28"/>
        </w:rPr>
        <w:t>»</w:t>
      </w:r>
      <w:r w:rsidRPr="002F1032">
        <w:rPr>
          <w:sz w:val="28"/>
          <w:szCs w:val="28"/>
        </w:rPr>
        <w:t xml:space="preserve"> (с изменениями от 28.12.2020 №1121, 09</w:t>
      </w:r>
      <w:r w:rsidR="002F1032" w:rsidRPr="002F1032">
        <w:rPr>
          <w:sz w:val="28"/>
          <w:szCs w:val="28"/>
        </w:rPr>
        <w:t>.08.2021 №664, 02.11.2021 №885)</w:t>
      </w:r>
      <w:r w:rsidR="00E22D01">
        <w:rPr>
          <w:sz w:val="28"/>
          <w:szCs w:val="28"/>
        </w:rPr>
        <w:t>»</w:t>
      </w:r>
      <w:r w:rsidR="002F1032" w:rsidRPr="002F1032">
        <w:rPr>
          <w:sz w:val="28"/>
          <w:szCs w:val="28"/>
        </w:rPr>
        <w:t>;</w:t>
      </w:r>
    </w:p>
    <w:p w:rsidR="00E4732D" w:rsidRPr="00E4732D" w:rsidRDefault="002F1032" w:rsidP="00E4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032">
        <w:rPr>
          <w:sz w:val="28"/>
          <w:szCs w:val="28"/>
        </w:rPr>
        <w:t>- постановлени</w:t>
      </w:r>
      <w:r w:rsidR="00E4732D">
        <w:rPr>
          <w:sz w:val="28"/>
          <w:szCs w:val="28"/>
        </w:rPr>
        <w:t>е</w:t>
      </w:r>
      <w:r w:rsidRPr="002F1032">
        <w:rPr>
          <w:sz w:val="28"/>
          <w:szCs w:val="28"/>
        </w:rPr>
        <w:t xml:space="preserve"> администрации города от 06.12.2021 №961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 xml:space="preserve">О внесении изменений в приложения 1, 2 к постановлению администрации города </w:t>
      </w:r>
      <w:r w:rsidR="009003EE">
        <w:rPr>
          <w:sz w:val="28"/>
          <w:szCs w:val="28"/>
        </w:rPr>
        <w:t xml:space="preserve">                               </w:t>
      </w:r>
      <w:r w:rsidRPr="002F1032">
        <w:rPr>
          <w:sz w:val="28"/>
          <w:szCs w:val="28"/>
        </w:rPr>
        <w:t xml:space="preserve">от 19.10.2018 №1312 </w:t>
      </w:r>
      <w:r w:rsidR="00E22D01">
        <w:rPr>
          <w:sz w:val="28"/>
          <w:szCs w:val="28"/>
        </w:rPr>
        <w:t>«</w:t>
      </w:r>
      <w:r w:rsidRPr="002F1032">
        <w:rPr>
          <w:sz w:val="28"/>
          <w:szCs w:val="28"/>
        </w:rPr>
        <w:t xml:space="preserve">Об утверждении нормативных затрат на обеспечение функций </w:t>
      </w:r>
      <w:r w:rsidRPr="00E4732D">
        <w:rPr>
          <w:sz w:val="28"/>
          <w:szCs w:val="28"/>
        </w:rPr>
        <w:t>подведомственных департаменту жилищно-коммунального хозяйства администрации города Нижневартовска муниципальных учреждений</w:t>
      </w:r>
      <w:r w:rsidR="00E22D01" w:rsidRPr="00E4732D">
        <w:rPr>
          <w:sz w:val="28"/>
          <w:szCs w:val="28"/>
        </w:rPr>
        <w:t>»</w:t>
      </w:r>
      <w:r w:rsidRPr="00E4732D">
        <w:rPr>
          <w:sz w:val="28"/>
          <w:szCs w:val="28"/>
        </w:rPr>
        <w:t xml:space="preserve"> </w:t>
      </w:r>
      <w:r w:rsidR="000D79AB" w:rsidRPr="00E4732D">
        <w:rPr>
          <w:sz w:val="28"/>
          <w:szCs w:val="28"/>
        </w:rPr>
        <w:t xml:space="preserve">                              </w:t>
      </w:r>
      <w:r w:rsidRPr="00E4732D">
        <w:rPr>
          <w:sz w:val="28"/>
          <w:szCs w:val="28"/>
        </w:rPr>
        <w:t>(с изменениями от 20.06.2019 №478, 22.10.2019 №871, 29.07.2020 №649, 30.04.2021 №353, 11.08.2021 №673)</w:t>
      </w:r>
      <w:r w:rsidR="00E22D01" w:rsidRPr="00E4732D">
        <w:rPr>
          <w:sz w:val="28"/>
          <w:szCs w:val="28"/>
        </w:rPr>
        <w:t>»</w:t>
      </w:r>
      <w:r w:rsidR="00E4732D" w:rsidRPr="00E4732D">
        <w:rPr>
          <w:sz w:val="28"/>
          <w:szCs w:val="28"/>
        </w:rPr>
        <w:t>;</w:t>
      </w:r>
    </w:p>
    <w:p w:rsidR="00E4732D" w:rsidRPr="00E4732D" w:rsidRDefault="00E4732D" w:rsidP="00E4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32D">
        <w:rPr>
          <w:sz w:val="28"/>
          <w:szCs w:val="28"/>
        </w:rPr>
        <w:t xml:space="preserve">- постановление Администрации города Нижневартовска от 22.12.2021 №1011 «О внесении изменений в постановление администрации города </w:t>
      </w:r>
      <w:r w:rsidR="009003EE">
        <w:rPr>
          <w:sz w:val="28"/>
          <w:szCs w:val="28"/>
        </w:rPr>
        <w:t xml:space="preserve">                           </w:t>
      </w:r>
      <w:r w:rsidRPr="00E4732D">
        <w:rPr>
          <w:sz w:val="28"/>
          <w:szCs w:val="28"/>
        </w:rPr>
        <w:t xml:space="preserve">от 19.12.2013 №2681 «О контрактной системе в сфере закупок товаров, работ, </w:t>
      </w:r>
      <w:r w:rsidRPr="00E4732D">
        <w:rPr>
          <w:sz w:val="28"/>
          <w:szCs w:val="28"/>
        </w:rPr>
        <w:lastRenderedPageBreak/>
        <w:t xml:space="preserve">услуг для обеспечения муниципальных нужд города Нижневартовска» </w:t>
      </w:r>
      <w:r w:rsidR="009003EE">
        <w:rPr>
          <w:sz w:val="28"/>
          <w:szCs w:val="28"/>
        </w:rPr>
        <w:t xml:space="preserve">                                        </w:t>
      </w:r>
      <w:r w:rsidRPr="00E4732D">
        <w:rPr>
          <w:sz w:val="28"/>
          <w:szCs w:val="28"/>
        </w:rPr>
        <w:t xml:space="preserve">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№444)». </w:t>
      </w:r>
    </w:p>
    <w:p w:rsidR="00D51621" w:rsidRPr="00D635D4" w:rsidRDefault="00D51621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A37539" w:rsidRPr="00D635D4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156BF0" w:rsidRPr="00D635D4" w:rsidRDefault="00D635D4" w:rsidP="00156B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rFonts w:eastAsia="Calibri"/>
          <w:sz w:val="28"/>
          <w:szCs w:val="28"/>
        </w:rPr>
        <w:t>З</w:t>
      </w:r>
      <w:r w:rsidR="00383A37" w:rsidRPr="00D635D4">
        <w:rPr>
          <w:rFonts w:eastAsia="Calibri"/>
          <w:sz w:val="28"/>
          <w:szCs w:val="28"/>
        </w:rPr>
        <w:t>а</w:t>
      </w:r>
      <w:r w:rsidR="00D75FE2" w:rsidRPr="00D635D4">
        <w:rPr>
          <w:rFonts w:eastAsia="Calibri"/>
          <w:sz w:val="28"/>
          <w:szCs w:val="28"/>
        </w:rPr>
        <w:t xml:space="preserve"> 202</w:t>
      </w:r>
      <w:r w:rsidR="00970F32" w:rsidRPr="00D635D4">
        <w:rPr>
          <w:rFonts w:eastAsia="Calibri"/>
          <w:sz w:val="28"/>
          <w:szCs w:val="28"/>
        </w:rPr>
        <w:t>1</w:t>
      </w:r>
      <w:r w:rsidR="00D75FE2" w:rsidRPr="00D635D4">
        <w:rPr>
          <w:rFonts w:eastAsia="Calibri"/>
          <w:sz w:val="28"/>
          <w:szCs w:val="28"/>
        </w:rPr>
        <w:t xml:space="preserve"> год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A33830" w:rsidRPr="00A33830">
        <w:rPr>
          <w:rFonts w:eastAsia="Calibri"/>
          <w:sz w:val="28"/>
          <w:szCs w:val="28"/>
        </w:rPr>
        <w:t>166</w:t>
      </w:r>
      <w:r w:rsidR="00970F32" w:rsidRPr="00A33830">
        <w:rPr>
          <w:rFonts w:eastAsia="Calibri"/>
          <w:sz w:val="28"/>
          <w:szCs w:val="28"/>
        </w:rPr>
        <w:t xml:space="preserve"> </w:t>
      </w:r>
      <w:r w:rsidR="00D75FE2" w:rsidRPr="00A33830">
        <w:rPr>
          <w:rFonts w:eastAsia="Calibri"/>
          <w:sz w:val="28"/>
          <w:szCs w:val="28"/>
        </w:rPr>
        <w:t>специалист</w:t>
      </w:r>
      <w:r w:rsidR="00156BF0" w:rsidRPr="00A33830">
        <w:rPr>
          <w:rFonts w:eastAsia="Calibri"/>
          <w:sz w:val="28"/>
          <w:szCs w:val="28"/>
        </w:rPr>
        <w:t>ов</w:t>
      </w:r>
      <w:r w:rsidR="00D75FE2" w:rsidRPr="00A33830">
        <w:rPr>
          <w:rFonts w:eastAsia="Calibri"/>
          <w:sz w:val="28"/>
          <w:szCs w:val="28"/>
        </w:rPr>
        <w:t>,</w:t>
      </w:r>
      <w:r w:rsidR="00D75FE2" w:rsidRPr="00D635D4">
        <w:rPr>
          <w:rFonts w:eastAsia="Calibri"/>
          <w:sz w:val="28"/>
          <w:szCs w:val="28"/>
        </w:rPr>
        <w:t xml:space="preserve"> занятых в сфере закупок. </w:t>
      </w:r>
    </w:p>
    <w:p w:rsidR="00156BF0" w:rsidRPr="00D635D4" w:rsidRDefault="00F954AB" w:rsidP="00156BF0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>Кроме того, у</w:t>
      </w:r>
      <w:r w:rsidR="00156BF0" w:rsidRPr="00D635D4">
        <w:rPr>
          <w:rFonts w:eastAsiaTheme="minorEastAsia"/>
          <w:color w:val="000000"/>
          <w:sz w:val="28"/>
          <w:szCs w:val="28"/>
        </w:rPr>
        <w:t>правлением муниципальных закупок были направлены приглашения муниципальным заказчикам прин</w:t>
      </w:r>
      <w:r w:rsidR="00D51621">
        <w:rPr>
          <w:rFonts w:eastAsiaTheme="minorEastAsia"/>
          <w:color w:val="000000"/>
          <w:sz w:val="28"/>
          <w:szCs w:val="28"/>
        </w:rPr>
        <w:t>ять участие в следующих мероприятиях</w:t>
      </w:r>
      <w:r w:rsidR="00156BF0" w:rsidRPr="00D635D4">
        <w:rPr>
          <w:rFonts w:eastAsiaTheme="minorEastAsia"/>
          <w:color w:val="000000"/>
          <w:sz w:val="28"/>
          <w:szCs w:val="28"/>
        </w:rPr>
        <w:t>:</w:t>
      </w:r>
    </w:p>
    <w:p w:rsidR="00156BF0" w:rsidRPr="00D635D4" w:rsidRDefault="00156BF0" w:rsidP="00F954A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 xml:space="preserve">- </w:t>
      </w:r>
      <w:r w:rsidRPr="00D635D4">
        <w:rPr>
          <w:rFonts w:eastAsiaTheme="minorEastAsia"/>
          <w:sz w:val="28"/>
          <w:szCs w:val="28"/>
        </w:rPr>
        <w:t xml:space="preserve">вебинар «Обзор нового вида торгов по 44-ФЗ (часть 12 статьи 93). Для заказчиков Сибирского и Уральского федеральных округов» </w:t>
      </w:r>
      <w:r w:rsidRPr="00D635D4">
        <w:rPr>
          <w:rFonts w:eastAsiaTheme="minorEastAsia"/>
          <w:color w:val="000000"/>
          <w:sz w:val="28"/>
          <w:szCs w:val="28"/>
        </w:rPr>
        <w:t>(15.06.2021);</w:t>
      </w:r>
    </w:p>
    <w:p w:rsidR="00156BF0" w:rsidRPr="00D635D4" w:rsidRDefault="00156BF0" w:rsidP="00F954A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>- видеоконференции по темам «Реформирование контрактной системы Закон №44-ФЗ», «Закупки по Закону №44-ФЗ: практические вопросы», «Расчет и обоснование начальной (максимальной) цены контракта, цены контракта, заключаемого с единственным поставщиком (подрядчиком, исполнителем) Закон №44-ФЗ» (26.07.2021);</w:t>
      </w:r>
    </w:p>
    <w:p w:rsidR="00156BF0" w:rsidRDefault="00156BF0" w:rsidP="00F954AB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>- вебинар «Новый порядок определения цены при осуществлении закупок охранн</w:t>
      </w:r>
      <w:r w:rsidR="008968F1">
        <w:rPr>
          <w:rFonts w:eastAsiaTheme="minorEastAsia"/>
          <w:color w:val="000000"/>
          <w:sz w:val="28"/>
          <w:szCs w:val="28"/>
        </w:rPr>
        <w:t xml:space="preserve">ых услуг по 44-ФЗ» (02.08.2021); </w:t>
      </w:r>
    </w:p>
    <w:p w:rsidR="00D51621" w:rsidRDefault="00D51621" w:rsidP="00F954AB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семинар для Заказчиков, осуществляющих закупки по Федеральному закону №44-ФЗ и №223-ФЗ, на котором выступали представители электронной площадки «РТС-тендер» (16.11.2021);</w:t>
      </w:r>
    </w:p>
    <w:p w:rsidR="00E4732D" w:rsidRDefault="008968F1" w:rsidP="00F954AB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совещание Управления Федерального казначейства </w:t>
      </w:r>
      <w:r w:rsidR="00C91E27">
        <w:rPr>
          <w:rFonts w:eastAsiaTheme="minorEastAsia"/>
          <w:color w:val="000000"/>
          <w:sz w:val="28"/>
          <w:szCs w:val="28"/>
        </w:rPr>
        <w:t>Российской Федерации</w:t>
      </w:r>
      <w:r>
        <w:rPr>
          <w:rFonts w:eastAsiaTheme="minorEastAsia"/>
          <w:color w:val="000000"/>
          <w:sz w:val="28"/>
          <w:szCs w:val="28"/>
        </w:rPr>
        <w:t xml:space="preserve"> на тему «Новации Закона №44-ФЗ, новые функциональные возможности ЕИС версии 12.0, реализованные</w:t>
      </w:r>
      <w:r w:rsidR="00C91E27">
        <w:rPr>
          <w:rFonts w:eastAsiaTheme="minorEastAsia"/>
          <w:color w:val="000000"/>
          <w:sz w:val="28"/>
          <w:szCs w:val="28"/>
        </w:rPr>
        <w:t xml:space="preserve"> в</w:t>
      </w:r>
      <w:r>
        <w:rPr>
          <w:rFonts w:eastAsiaTheme="minorEastAsia"/>
          <w:color w:val="000000"/>
          <w:sz w:val="28"/>
          <w:szCs w:val="28"/>
        </w:rPr>
        <w:t xml:space="preserve"> соответствии с изменениями» (22.12.2021). </w:t>
      </w:r>
    </w:p>
    <w:p w:rsidR="00B6538D" w:rsidRDefault="00B6538D" w:rsidP="00B6538D"/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D940CD" w:rsidRDefault="00D940CD" w:rsidP="00F93595">
      <w:pPr>
        <w:widowControl w:val="0"/>
        <w:ind w:firstLine="709"/>
        <w:jc w:val="both"/>
        <w:rPr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202</w:t>
      </w:r>
      <w:r w:rsidR="00970F32" w:rsidRPr="00D635D4">
        <w:rPr>
          <w:sz w:val="28"/>
          <w:szCs w:val="28"/>
        </w:rPr>
        <w:t>1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состоянию на </w:t>
      </w:r>
      <w:r w:rsidR="00996EDC">
        <w:rPr>
          <w:sz w:val="28"/>
          <w:szCs w:val="28"/>
        </w:rPr>
        <w:t>31.12</w:t>
      </w:r>
      <w:r w:rsidR="00D635D4" w:rsidRPr="00D635D4">
        <w:rPr>
          <w:sz w:val="28"/>
          <w:szCs w:val="28"/>
        </w:rPr>
        <w:t>.2021</w:t>
      </w:r>
      <w:r w:rsidRPr="00D635D4">
        <w:rPr>
          <w:sz w:val="28"/>
          <w:szCs w:val="28"/>
        </w:rPr>
        <w:t xml:space="preserve"> составил </w:t>
      </w:r>
      <w:r w:rsidR="00996EDC">
        <w:rPr>
          <w:b/>
          <w:sz w:val="28"/>
          <w:szCs w:val="28"/>
        </w:rPr>
        <w:t>5 943,3</w:t>
      </w:r>
      <w:r w:rsidRPr="00D635D4">
        <w:rPr>
          <w:sz w:val="28"/>
          <w:szCs w:val="28"/>
        </w:rPr>
        <w:t xml:space="preserve"> млрд. рублей, в том числе:</w:t>
      </w: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1) администрация города Нижневартовска – </w:t>
      </w:r>
      <w:r w:rsidR="00980945">
        <w:rPr>
          <w:sz w:val="28"/>
          <w:szCs w:val="28"/>
        </w:rPr>
        <w:t>848,7</w:t>
      </w:r>
      <w:r w:rsidRPr="00D635D4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14,28</w:t>
      </w:r>
      <w:r w:rsidRPr="00D635D4">
        <w:rPr>
          <w:sz w:val="28"/>
          <w:szCs w:val="28"/>
        </w:rPr>
        <w:t>%)</w:t>
      </w:r>
      <w:r w:rsidR="00A37539" w:rsidRPr="00D635D4">
        <w:rPr>
          <w:sz w:val="28"/>
          <w:szCs w:val="28"/>
        </w:rPr>
        <w:t xml:space="preserve">.  </w:t>
      </w:r>
      <w:r w:rsidRPr="00D635D4">
        <w:rPr>
          <w:sz w:val="28"/>
          <w:szCs w:val="28"/>
        </w:rPr>
        <w:t xml:space="preserve"> </w:t>
      </w:r>
    </w:p>
    <w:p w:rsidR="00A37539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2) департамент жилищно-коммунального хозяйства администрации        </w:t>
      </w:r>
      <w:r w:rsidRPr="00D635D4">
        <w:rPr>
          <w:sz w:val="28"/>
          <w:szCs w:val="28"/>
        </w:rPr>
        <w:lastRenderedPageBreak/>
        <w:t xml:space="preserve">города Нижневартовска – </w:t>
      </w:r>
      <w:r w:rsidR="00980945">
        <w:rPr>
          <w:sz w:val="28"/>
          <w:szCs w:val="28"/>
        </w:rPr>
        <w:t>580,5</w:t>
      </w:r>
      <w:r w:rsidRPr="00D635D4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9,77</w:t>
      </w:r>
      <w:r w:rsidRPr="00D635D4">
        <w:rPr>
          <w:sz w:val="28"/>
          <w:szCs w:val="28"/>
        </w:rPr>
        <w:t xml:space="preserve">%). </w:t>
      </w:r>
    </w:p>
    <w:p w:rsidR="00A37539" w:rsidRPr="00D635D4" w:rsidRDefault="00F93595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D635D4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5D626B" w:rsidRPr="00D635D4">
        <w:rPr>
          <w:sz w:val="28"/>
          <w:szCs w:val="28"/>
        </w:rPr>
        <w:t>1,</w:t>
      </w:r>
      <w:r w:rsidR="0042422C" w:rsidRPr="00D635D4">
        <w:rPr>
          <w:sz w:val="28"/>
          <w:szCs w:val="28"/>
        </w:rPr>
        <w:t>2</w:t>
      </w:r>
      <w:r w:rsidRPr="00D635D4">
        <w:rPr>
          <w:sz w:val="28"/>
          <w:szCs w:val="28"/>
        </w:rPr>
        <w:t xml:space="preserve"> млн. руб. (</w:t>
      </w:r>
      <w:r w:rsidR="00D0792C" w:rsidRPr="00D635D4">
        <w:rPr>
          <w:sz w:val="28"/>
          <w:szCs w:val="28"/>
        </w:rPr>
        <w:t>0,</w:t>
      </w:r>
      <w:r w:rsidR="006C5BF7" w:rsidRPr="00D635D4">
        <w:rPr>
          <w:sz w:val="28"/>
          <w:szCs w:val="28"/>
        </w:rPr>
        <w:t>0</w:t>
      </w:r>
      <w:r w:rsidR="00191626" w:rsidRPr="00D635D4">
        <w:rPr>
          <w:sz w:val="28"/>
          <w:szCs w:val="28"/>
        </w:rPr>
        <w:t>2</w:t>
      </w:r>
      <w:r w:rsidRPr="00D635D4">
        <w:rPr>
          <w:sz w:val="28"/>
          <w:szCs w:val="28"/>
        </w:rPr>
        <w:t xml:space="preserve">%). </w:t>
      </w:r>
    </w:p>
    <w:p w:rsidR="00A37539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4) департамент образования администрации города – </w:t>
      </w:r>
      <w:r w:rsidR="00FC4EF9" w:rsidRPr="00D635D4">
        <w:rPr>
          <w:sz w:val="28"/>
          <w:szCs w:val="28"/>
        </w:rPr>
        <w:t xml:space="preserve"> </w:t>
      </w:r>
      <w:r w:rsidR="0042422C" w:rsidRPr="00D635D4">
        <w:rPr>
          <w:sz w:val="28"/>
          <w:szCs w:val="28"/>
        </w:rPr>
        <w:t>71,6</w:t>
      </w:r>
      <w:r w:rsidRPr="00D635D4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1,2</w:t>
      </w:r>
      <w:r w:rsidR="00996EDC">
        <w:rPr>
          <w:sz w:val="28"/>
          <w:szCs w:val="28"/>
        </w:rPr>
        <w:t>1</w:t>
      </w:r>
      <w:r w:rsidR="00A37539" w:rsidRPr="00D635D4">
        <w:rPr>
          <w:sz w:val="28"/>
          <w:szCs w:val="28"/>
        </w:rPr>
        <w:t>%).</w:t>
      </w:r>
    </w:p>
    <w:p w:rsidR="00A37539" w:rsidRPr="006B4D7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6B4D79">
        <w:rPr>
          <w:sz w:val="28"/>
          <w:szCs w:val="28"/>
        </w:rPr>
        <w:t>5</w:t>
      </w:r>
      <w:r w:rsidR="00F93595" w:rsidRPr="006B4D79">
        <w:rPr>
          <w:sz w:val="28"/>
          <w:szCs w:val="28"/>
        </w:rPr>
        <w:t xml:space="preserve">) учреждения образования </w:t>
      </w:r>
      <w:r w:rsidR="00980945" w:rsidRPr="006B4D79">
        <w:rPr>
          <w:sz w:val="28"/>
          <w:szCs w:val="28"/>
        </w:rPr>
        <w:t>(43 заказчика)</w:t>
      </w:r>
      <w:r w:rsidR="00C74A96">
        <w:rPr>
          <w:sz w:val="28"/>
          <w:szCs w:val="28"/>
        </w:rPr>
        <w:t xml:space="preserve"> </w:t>
      </w:r>
      <w:r w:rsidR="00F93595" w:rsidRPr="006B4D79">
        <w:rPr>
          <w:sz w:val="28"/>
          <w:szCs w:val="28"/>
        </w:rPr>
        <w:t xml:space="preserve">– </w:t>
      </w:r>
      <w:r w:rsidR="00F954AB" w:rsidRPr="006B4D79">
        <w:rPr>
          <w:sz w:val="28"/>
          <w:szCs w:val="28"/>
        </w:rPr>
        <w:t>1 5</w:t>
      </w:r>
      <w:r w:rsidR="006B4D79" w:rsidRPr="006B4D79">
        <w:rPr>
          <w:sz w:val="28"/>
          <w:szCs w:val="28"/>
        </w:rPr>
        <w:t>48</w:t>
      </w:r>
      <w:r w:rsidR="00F954AB" w:rsidRPr="006B4D79">
        <w:rPr>
          <w:sz w:val="28"/>
          <w:szCs w:val="28"/>
        </w:rPr>
        <w:t>,</w:t>
      </w:r>
      <w:r w:rsidR="006B4D79" w:rsidRPr="006B4D79">
        <w:rPr>
          <w:sz w:val="28"/>
          <w:szCs w:val="28"/>
        </w:rPr>
        <w:t>0</w:t>
      </w:r>
      <w:r w:rsidR="00F93595" w:rsidRPr="006B4D79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26,05</w:t>
      </w:r>
      <w:r w:rsidR="00F93595" w:rsidRPr="006B4D79">
        <w:rPr>
          <w:sz w:val="28"/>
          <w:szCs w:val="28"/>
        </w:rPr>
        <w:t xml:space="preserve">%). </w:t>
      </w:r>
    </w:p>
    <w:p w:rsidR="00A37539" w:rsidRPr="006B4D7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6B4D79">
        <w:rPr>
          <w:sz w:val="28"/>
          <w:szCs w:val="28"/>
        </w:rPr>
        <w:t>6</w:t>
      </w:r>
      <w:r w:rsidR="00F93595" w:rsidRPr="006B4D79">
        <w:rPr>
          <w:sz w:val="28"/>
          <w:szCs w:val="28"/>
        </w:rPr>
        <w:t xml:space="preserve">) учреждения культуры </w:t>
      </w:r>
      <w:r w:rsidR="00980945" w:rsidRPr="006B4D79">
        <w:rPr>
          <w:sz w:val="28"/>
          <w:szCs w:val="28"/>
        </w:rPr>
        <w:t xml:space="preserve">(5 заказчиков) </w:t>
      </w:r>
      <w:r w:rsidR="00F93595" w:rsidRPr="006B4D79">
        <w:rPr>
          <w:sz w:val="28"/>
          <w:szCs w:val="28"/>
        </w:rPr>
        <w:t xml:space="preserve">– </w:t>
      </w:r>
      <w:r w:rsidR="006B4D79" w:rsidRPr="006B4D79">
        <w:rPr>
          <w:sz w:val="28"/>
          <w:szCs w:val="28"/>
        </w:rPr>
        <w:t>273,0</w:t>
      </w:r>
      <w:r w:rsidR="00F93595" w:rsidRPr="006B4D79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4,59</w:t>
      </w:r>
      <w:r w:rsidR="00F93595" w:rsidRPr="006B4D79">
        <w:rPr>
          <w:sz w:val="28"/>
          <w:szCs w:val="28"/>
        </w:rPr>
        <w:t xml:space="preserve">%). </w:t>
      </w:r>
    </w:p>
    <w:p w:rsidR="00A37539" w:rsidRPr="006B4D7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6B4D79">
        <w:rPr>
          <w:sz w:val="28"/>
          <w:szCs w:val="28"/>
        </w:rPr>
        <w:t>7</w:t>
      </w:r>
      <w:r w:rsidR="00F93595" w:rsidRPr="006B4D79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6B4D79" w:rsidRPr="006B4D79">
        <w:rPr>
          <w:sz w:val="28"/>
          <w:szCs w:val="28"/>
        </w:rPr>
        <w:t>1 312,2</w:t>
      </w:r>
      <w:r w:rsidR="00F93595" w:rsidRPr="006B4D79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22,0</w:t>
      </w:r>
      <w:r w:rsidR="00996EDC">
        <w:rPr>
          <w:sz w:val="28"/>
          <w:szCs w:val="28"/>
        </w:rPr>
        <w:t>9</w:t>
      </w:r>
      <w:r w:rsidR="0086169B" w:rsidRPr="006B4D79">
        <w:rPr>
          <w:sz w:val="28"/>
          <w:szCs w:val="28"/>
        </w:rPr>
        <w:t xml:space="preserve">%). </w:t>
      </w:r>
    </w:p>
    <w:p w:rsidR="00A37539" w:rsidRPr="006B4D7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6B4D79">
        <w:rPr>
          <w:sz w:val="28"/>
          <w:szCs w:val="28"/>
        </w:rPr>
        <w:t>8</w:t>
      </w:r>
      <w:r w:rsidR="00F93595" w:rsidRPr="006B4D79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6B4D79" w:rsidRPr="006B4D79">
        <w:rPr>
          <w:sz w:val="28"/>
          <w:szCs w:val="28"/>
        </w:rPr>
        <w:t>17</w:t>
      </w:r>
      <w:r w:rsidR="00996EDC">
        <w:rPr>
          <w:sz w:val="28"/>
          <w:szCs w:val="28"/>
        </w:rPr>
        <w:t>5</w:t>
      </w:r>
      <w:r w:rsidR="006B4D79" w:rsidRPr="006B4D79">
        <w:rPr>
          <w:sz w:val="28"/>
          <w:szCs w:val="28"/>
        </w:rPr>
        <w:t>,7</w:t>
      </w:r>
      <w:r w:rsidR="00F93595" w:rsidRPr="006B4D79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2,</w:t>
      </w:r>
      <w:r w:rsidR="00996EDC">
        <w:rPr>
          <w:sz w:val="28"/>
          <w:szCs w:val="28"/>
        </w:rPr>
        <w:t>96</w:t>
      </w:r>
      <w:r w:rsidR="00F93595" w:rsidRPr="006B4D79">
        <w:rPr>
          <w:sz w:val="28"/>
          <w:szCs w:val="28"/>
        </w:rPr>
        <w:t xml:space="preserve">%). </w:t>
      </w:r>
    </w:p>
    <w:p w:rsidR="00A37539" w:rsidRPr="006B4D79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6B4D79">
        <w:rPr>
          <w:sz w:val="28"/>
          <w:szCs w:val="28"/>
        </w:rPr>
        <w:t>9</w:t>
      </w:r>
      <w:r w:rsidR="00F93595" w:rsidRPr="006B4D79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6B4D79" w:rsidRPr="006B4D79">
        <w:rPr>
          <w:sz w:val="28"/>
          <w:szCs w:val="28"/>
        </w:rPr>
        <w:t>109,8</w:t>
      </w:r>
      <w:r w:rsidR="00F93595" w:rsidRPr="006B4D79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1,85</w:t>
      </w:r>
      <w:r w:rsidR="00F93595" w:rsidRPr="006B4D79">
        <w:rPr>
          <w:sz w:val="28"/>
          <w:szCs w:val="28"/>
        </w:rPr>
        <w:t xml:space="preserve">%). </w:t>
      </w:r>
    </w:p>
    <w:p w:rsidR="00F93595" w:rsidRPr="00F259D5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F259D5">
        <w:rPr>
          <w:sz w:val="28"/>
          <w:szCs w:val="28"/>
        </w:rPr>
        <w:t>10</w:t>
      </w:r>
      <w:r w:rsidR="00F93595" w:rsidRPr="00F259D5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F259D5">
        <w:rPr>
          <w:sz w:val="28"/>
          <w:szCs w:val="28"/>
        </w:rPr>
        <w:t xml:space="preserve"> </w:t>
      </w:r>
      <w:r w:rsidR="00F259D5" w:rsidRPr="00F259D5">
        <w:rPr>
          <w:sz w:val="28"/>
          <w:szCs w:val="28"/>
        </w:rPr>
        <w:t>910,6</w:t>
      </w:r>
      <w:r w:rsidR="00F93595" w:rsidRPr="00F259D5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15,3</w:t>
      </w:r>
      <w:r w:rsidR="00996EDC">
        <w:rPr>
          <w:sz w:val="28"/>
          <w:szCs w:val="28"/>
        </w:rPr>
        <w:t>3</w:t>
      </w:r>
      <w:r w:rsidR="00F93595" w:rsidRPr="00F259D5">
        <w:rPr>
          <w:sz w:val="28"/>
          <w:szCs w:val="28"/>
        </w:rPr>
        <w:t>%)</w:t>
      </w:r>
      <w:r w:rsidR="004259D9" w:rsidRPr="00F259D5">
        <w:rPr>
          <w:sz w:val="28"/>
          <w:szCs w:val="28"/>
        </w:rPr>
        <w:t>.</w:t>
      </w:r>
      <w:r w:rsidR="00F93595" w:rsidRPr="00F259D5">
        <w:rPr>
          <w:sz w:val="28"/>
          <w:szCs w:val="28"/>
        </w:rPr>
        <w:t xml:space="preserve">  </w:t>
      </w:r>
    </w:p>
    <w:p w:rsidR="00E92D84" w:rsidRPr="00F259D5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F259D5">
        <w:rPr>
          <w:sz w:val="28"/>
          <w:szCs w:val="28"/>
        </w:rPr>
        <w:t>11</w:t>
      </w:r>
      <w:r w:rsidR="00E92D84" w:rsidRPr="00F259D5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C74A96">
        <w:rPr>
          <w:sz w:val="28"/>
          <w:szCs w:val="28"/>
        </w:rPr>
        <w:t>21,2</w:t>
      </w:r>
      <w:r w:rsidR="00E92D84" w:rsidRPr="00F259D5">
        <w:rPr>
          <w:sz w:val="28"/>
          <w:szCs w:val="28"/>
        </w:rPr>
        <w:t xml:space="preserve"> млн. руб.</w:t>
      </w:r>
      <w:r w:rsidR="006C5BF7" w:rsidRPr="00F259D5">
        <w:rPr>
          <w:sz w:val="28"/>
          <w:szCs w:val="28"/>
        </w:rPr>
        <w:t xml:space="preserve"> (</w:t>
      </w:r>
      <w:r w:rsidR="00650D8C">
        <w:rPr>
          <w:sz w:val="28"/>
          <w:szCs w:val="28"/>
        </w:rPr>
        <w:t>0,36</w:t>
      </w:r>
      <w:r w:rsidR="006C5BF7" w:rsidRPr="00F259D5">
        <w:rPr>
          <w:sz w:val="28"/>
          <w:szCs w:val="28"/>
        </w:rPr>
        <w:t>%)</w:t>
      </w:r>
      <w:r w:rsidR="004259D9" w:rsidRPr="00F259D5">
        <w:rPr>
          <w:sz w:val="28"/>
          <w:szCs w:val="28"/>
        </w:rPr>
        <w:t>.</w:t>
      </w:r>
      <w:r w:rsidR="00E92D84" w:rsidRPr="00F259D5">
        <w:rPr>
          <w:sz w:val="28"/>
          <w:szCs w:val="28"/>
        </w:rPr>
        <w:t xml:space="preserve"> </w:t>
      </w:r>
    </w:p>
    <w:p w:rsidR="00F93595" w:rsidRPr="00F259D5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F259D5">
        <w:rPr>
          <w:sz w:val="28"/>
          <w:szCs w:val="28"/>
        </w:rPr>
        <w:t>12</w:t>
      </w:r>
      <w:r w:rsidR="00F93595" w:rsidRPr="00F259D5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F259D5" w:rsidRPr="00F259D5">
        <w:rPr>
          <w:sz w:val="28"/>
          <w:szCs w:val="28"/>
        </w:rPr>
        <w:t>8,7</w:t>
      </w:r>
      <w:r w:rsidR="00F93595" w:rsidRPr="00F259D5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0,15</w:t>
      </w:r>
      <w:r w:rsidR="00F93595" w:rsidRPr="00F259D5">
        <w:rPr>
          <w:sz w:val="28"/>
          <w:szCs w:val="28"/>
        </w:rPr>
        <w:t xml:space="preserve">%). </w:t>
      </w:r>
    </w:p>
    <w:p w:rsidR="00A37539" w:rsidRPr="006B4D79" w:rsidRDefault="00A37539" w:rsidP="002103E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259D5">
        <w:rPr>
          <w:sz w:val="28"/>
          <w:szCs w:val="28"/>
        </w:rPr>
        <w:t>13</w:t>
      </w:r>
      <w:r w:rsidR="00F93595" w:rsidRPr="00F259D5">
        <w:rPr>
          <w:sz w:val="28"/>
          <w:szCs w:val="28"/>
        </w:rPr>
        <w:t xml:space="preserve">) Дума города Нижневартовска – </w:t>
      </w:r>
      <w:r w:rsidR="00C74A96">
        <w:rPr>
          <w:sz w:val="28"/>
          <w:szCs w:val="28"/>
        </w:rPr>
        <w:t>22,7</w:t>
      </w:r>
      <w:r w:rsidR="006C5BF7" w:rsidRPr="00F259D5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0,38</w:t>
      </w:r>
      <w:r w:rsidR="00F93595" w:rsidRPr="00F259D5">
        <w:rPr>
          <w:sz w:val="28"/>
          <w:szCs w:val="28"/>
        </w:rPr>
        <w:t>%)</w:t>
      </w:r>
      <w:r w:rsidR="007C6BE9" w:rsidRPr="00F259D5">
        <w:rPr>
          <w:sz w:val="28"/>
          <w:szCs w:val="28"/>
        </w:rPr>
        <w:t>.</w:t>
      </w:r>
      <w:r w:rsidR="00876AB5" w:rsidRPr="00F259D5">
        <w:rPr>
          <w:sz w:val="28"/>
          <w:szCs w:val="28"/>
        </w:rPr>
        <w:t xml:space="preserve"> </w:t>
      </w:r>
    </w:p>
    <w:p w:rsidR="002103E2" w:rsidRPr="00C74A96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C74A96">
        <w:rPr>
          <w:noProof/>
          <w:sz w:val="28"/>
          <w:szCs w:val="28"/>
        </w:rPr>
        <w:t>14</w:t>
      </w:r>
      <w:r w:rsidR="002103E2" w:rsidRPr="00C74A96">
        <w:rPr>
          <w:noProof/>
          <w:sz w:val="28"/>
          <w:szCs w:val="28"/>
        </w:rPr>
        <w:t xml:space="preserve">) </w:t>
      </w:r>
      <w:r w:rsidR="002103E2" w:rsidRPr="00C74A96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42422C" w:rsidRPr="00C74A96">
        <w:rPr>
          <w:sz w:val="28"/>
          <w:szCs w:val="28"/>
        </w:rPr>
        <w:t>56,</w:t>
      </w:r>
      <w:r w:rsidR="00EA565A" w:rsidRPr="00C74A96">
        <w:rPr>
          <w:sz w:val="28"/>
          <w:szCs w:val="28"/>
        </w:rPr>
        <w:t>5</w:t>
      </w:r>
      <w:r w:rsidR="002103E2" w:rsidRPr="00C74A96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0,95</w:t>
      </w:r>
      <w:r w:rsidR="002103E2" w:rsidRPr="00C74A96">
        <w:rPr>
          <w:sz w:val="28"/>
          <w:szCs w:val="28"/>
        </w:rPr>
        <w:t xml:space="preserve">%). </w:t>
      </w:r>
    </w:p>
    <w:p w:rsidR="00980945" w:rsidRPr="00C74A96" w:rsidRDefault="00980945" w:rsidP="002103E2">
      <w:pPr>
        <w:widowControl w:val="0"/>
        <w:ind w:firstLine="709"/>
        <w:jc w:val="both"/>
        <w:rPr>
          <w:sz w:val="28"/>
          <w:szCs w:val="28"/>
        </w:rPr>
      </w:pPr>
      <w:r w:rsidRPr="00C74A96">
        <w:rPr>
          <w:sz w:val="28"/>
          <w:szCs w:val="28"/>
        </w:rPr>
        <w:t xml:space="preserve">15) </w:t>
      </w:r>
      <w:r w:rsidR="00F259D5" w:rsidRPr="00C74A96">
        <w:rPr>
          <w:sz w:val="28"/>
          <w:szCs w:val="28"/>
        </w:rPr>
        <w:t>муниципальное унитарное предприятие города Нижневартовска  "Т</w:t>
      </w:r>
      <w:r w:rsidR="00650D8C" w:rsidRPr="00C74A96">
        <w:rPr>
          <w:sz w:val="28"/>
          <w:szCs w:val="28"/>
        </w:rPr>
        <w:t>еплоснабжение</w:t>
      </w:r>
      <w:r w:rsidR="00F259D5" w:rsidRPr="00C74A96">
        <w:rPr>
          <w:sz w:val="28"/>
          <w:szCs w:val="28"/>
        </w:rPr>
        <w:t>"</w:t>
      </w:r>
      <w:r w:rsidR="00636840" w:rsidRPr="00C74A96">
        <w:rPr>
          <w:sz w:val="28"/>
          <w:szCs w:val="28"/>
        </w:rPr>
        <w:t xml:space="preserve"> – 0,6 </w:t>
      </w:r>
      <w:r w:rsidR="00EA565A" w:rsidRPr="00C74A96">
        <w:rPr>
          <w:sz w:val="28"/>
          <w:szCs w:val="28"/>
        </w:rPr>
        <w:t>млн. руб. (</w:t>
      </w:r>
      <w:r w:rsidR="00650D8C">
        <w:rPr>
          <w:sz w:val="28"/>
          <w:szCs w:val="28"/>
        </w:rPr>
        <w:t>0,01</w:t>
      </w:r>
      <w:r w:rsidR="00EA565A" w:rsidRPr="00C74A96">
        <w:rPr>
          <w:sz w:val="28"/>
          <w:szCs w:val="28"/>
        </w:rPr>
        <w:t>%).</w:t>
      </w:r>
    </w:p>
    <w:p w:rsidR="00636840" w:rsidRPr="00C74A96" w:rsidRDefault="00F259D5" w:rsidP="00636840">
      <w:pPr>
        <w:widowControl w:val="0"/>
        <w:ind w:firstLine="709"/>
        <w:jc w:val="both"/>
        <w:rPr>
          <w:sz w:val="28"/>
          <w:szCs w:val="28"/>
        </w:rPr>
      </w:pPr>
      <w:r w:rsidRPr="00C74A96">
        <w:rPr>
          <w:sz w:val="28"/>
          <w:szCs w:val="28"/>
        </w:rPr>
        <w:t>16) муниципальное унитарное предприятие города Нижневартовска "Г</w:t>
      </w:r>
      <w:r w:rsidR="00650D8C" w:rsidRPr="00C74A96">
        <w:rPr>
          <w:sz w:val="28"/>
          <w:szCs w:val="28"/>
        </w:rPr>
        <w:t>орводоканал</w:t>
      </w:r>
      <w:r w:rsidRPr="00C74A96">
        <w:rPr>
          <w:sz w:val="28"/>
          <w:szCs w:val="28"/>
        </w:rPr>
        <w:t>"</w:t>
      </w:r>
      <w:r w:rsidR="00636840" w:rsidRPr="00C74A96">
        <w:rPr>
          <w:sz w:val="28"/>
          <w:szCs w:val="28"/>
        </w:rPr>
        <w:t xml:space="preserve"> – 0,3</w:t>
      </w:r>
      <w:r w:rsidR="00EA565A" w:rsidRPr="00C74A96">
        <w:rPr>
          <w:sz w:val="28"/>
          <w:szCs w:val="28"/>
        </w:rPr>
        <w:t xml:space="preserve"> млн. руб. (</w:t>
      </w:r>
      <w:r w:rsidR="00650D8C">
        <w:rPr>
          <w:sz w:val="28"/>
          <w:szCs w:val="28"/>
        </w:rPr>
        <w:t>0,01</w:t>
      </w:r>
      <w:r w:rsidR="00EA565A" w:rsidRPr="00C74A96">
        <w:rPr>
          <w:sz w:val="28"/>
          <w:szCs w:val="28"/>
        </w:rPr>
        <w:t>%).</w:t>
      </w:r>
    </w:p>
    <w:p w:rsidR="00596CA2" w:rsidRPr="00D635D4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769C7" w:rsidRDefault="008769C7" w:rsidP="000D79AB">
      <w:pPr>
        <w:ind w:firstLine="709"/>
        <w:jc w:val="both"/>
        <w:rPr>
          <w:sz w:val="28"/>
          <w:szCs w:val="28"/>
        </w:rPr>
      </w:pPr>
      <w:r w:rsidRPr="000D79AB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>
        <w:rPr>
          <w:sz w:val="28"/>
          <w:szCs w:val="28"/>
        </w:rPr>
        <w:t xml:space="preserve">                          </w:t>
      </w:r>
      <w:r w:rsidRPr="000D79AB">
        <w:rPr>
          <w:sz w:val="28"/>
          <w:szCs w:val="28"/>
        </w:rPr>
        <w:t>в определяющей</w:t>
      </w:r>
      <w:r w:rsidR="000D79AB" w:rsidRPr="000D79AB">
        <w:rPr>
          <w:sz w:val="28"/>
          <w:szCs w:val="28"/>
        </w:rPr>
        <w:t xml:space="preserve"> </w:t>
      </w:r>
      <w:r w:rsidRPr="000D79AB">
        <w:rPr>
          <w:sz w:val="28"/>
          <w:szCs w:val="28"/>
        </w:rPr>
        <w:t>степени зависят от процесс</w:t>
      </w:r>
      <w:r w:rsidR="000D79AB">
        <w:rPr>
          <w:sz w:val="28"/>
          <w:szCs w:val="28"/>
        </w:rPr>
        <w:t>а</w:t>
      </w:r>
      <w:r w:rsidRPr="000D79AB">
        <w:rPr>
          <w:sz w:val="28"/>
          <w:szCs w:val="28"/>
        </w:rPr>
        <w:t xml:space="preserve"> планирования закупок,</w:t>
      </w:r>
      <w:r w:rsidR="000D79AB" w:rsidRPr="000D79AB">
        <w:rPr>
          <w:sz w:val="28"/>
          <w:szCs w:val="28"/>
        </w:rPr>
        <w:t xml:space="preserve"> </w:t>
      </w:r>
      <w:r w:rsidRPr="000D79AB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D79AB">
        <w:rPr>
          <w:sz w:val="28"/>
          <w:szCs w:val="28"/>
        </w:rPr>
        <w:t xml:space="preserve"> </w:t>
      </w:r>
      <w:r w:rsidRPr="000D79AB">
        <w:rPr>
          <w:sz w:val="28"/>
          <w:szCs w:val="28"/>
        </w:rPr>
        <w:t>и их исполнения.</w:t>
      </w:r>
    </w:p>
    <w:p w:rsidR="00F93595" w:rsidRPr="000D79AB" w:rsidRDefault="000D79AB" w:rsidP="000D79AB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 ф</w:t>
      </w:r>
      <w:r w:rsidR="00F93595" w:rsidRPr="000D79AB">
        <w:rPr>
          <w:sz w:val="28"/>
          <w:szCs w:val="28"/>
        </w:rPr>
        <w:t>актическое исполнение планов-графиков за 20</w:t>
      </w:r>
      <w:r w:rsidR="0040623A" w:rsidRPr="000D79AB">
        <w:rPr>
          <w:sz w:val="28"/>
          <w:szCs w:val="28"/>
        </w:rPr>
        <w:t>2</w:t>
      </w:r>
      <w:r w:rsidR="002653D4" w:rsidRPr="000D79AB">
        <w:rPr>
          <w:sz w:val="28"/>
          <w:szCs w:val="28"/>
        </w:rPr>
        <w:t>1</w:t>
      </w:r>
      <w:r w:rsidR="00F93595" w:rsidRPr="000D79AB">
        <w:rPr>
          <w:sz w:val="28"/>
          <w:szCs w:val="28"/>
        </w:rPr>
        <w:t xml:space="preserve"> год составило </w:t>
      </w:r>
      <w:r w:rsidR="00996EDC" w:rsidRPr="000D79AB">
        <w:rPr>
          <w:b/>
          <w:bCs/>
          <w:sz w:val="28"/>
          <w:szCs w:val="28"/>
        </w:rPr>
        <w:t>5 913,1</w:t>
      </w:r>
      <w:r w:rsidR="00F93595" w:rsidRPr="000D79AB">
        <w:rPr>
          <w:b/>
          <w:bCs/>
          <w:sz w:val="28"/>
          <w:szCs w:val="28"/>
        </w:rPr>
        <w:t xml:space="preserve"> </w:t>
      </w:r>
      <w:r w:rsidR="00F93595" w:rsidRPr="000D79AB">
        <w:rPr>
          <w:sz w:val="28"/>
          <w:szCs w:val="28"/>
        </w:rPr>
        <w:t xml:space="preserve">млн. руб. или </w:t>
      </w:r>
      <w:r w:rsidR="009003EE">
        <w:rPr>
          <w:sz w:val="28"/>
          <w:szCs w:val="28"/>
        </w:rPr>
        <w:t>99,5</w:t>
      </w:r>
      <w:r w:rsidR="00F93595" w:rsidRPr="000D79AB">
        <w:rPr>
          <w:sz w:val="28"/>
          <w:szCs w:val="28"/>
        </w:rPr>
        <w:t>% от запланированного объема закупок</w:t>
      </w:r>
      <w:r w:rsidR="00F93595" w:rsidRPr="000D79AB">
        <w:rPr>
          <w:i/>
          <w:sz w:val="28"/>
          <w:szCs w:val="28"/>
        </w:rPr>
        <w:t>.</w:t>
      </w:r>
    </w:p>
    <w:p w:rsidR="003455BC" w:rsidRPr="00D635D4" w:rsidRDefault="003455BC" w:rsidP="00777D86">
      <w:pPr>
        <w:pStyle w:val="a3"/>
        <w:widowControl w:val="0"/>
        <w:rPr>
          <w:szCs w:val="28"/>
        </w:rPr>
      </w:pPr>
    </w:p>
    <w:p w:rsidR="00DD5C4E" w:rsidRPr="00D635D4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5D4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D635D4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среди конкурентных процедур остается открытый аукцион в электронной форме. На электронные аукционы приходится </w:t>
      </w:r>
      <w:r w:rsidR="00F92DF8">
        <w:rPr>
          <w:rFonts w:eastAsia="Calibri"/>
          <w:sz w:val="28"/>
          <w:szCs w:val="28"/>
          <w:lang w:eastAsia="en-US"/>
        </w:rPr>
        <w:t>62</w:t>
      </w:r>
      <w:r w:rsidR="00DD5C4E" w:rsidRPr="00D635D4">
        <w:rPr>
          <w:rFonts w:eastAsia="Calibri"/>
          <w:sz w:val="28"/>
          <w:szCs w:val="28"/>
          <w:lang w:eastAsia="en-US"/>
        </w:rPr>
        <w:t xml:space="preserve">% </w:t>
      </w:r>
      <w:r w:rsidR="001732F8">
        <w:rPr>
          <w:rFonts w:eastAsia="Calibri"/>
          <w:sz w:val="28"/>
          <w:szCs w:val="28"/>
          <w:lang w:eastAsia="en-US"/>
        </w:rPr>
        <w:t xml:space="preserve">                    </w:t>
      </w:r>
      <w:r w:rsidR="00DD5C4E" w:rsidRPr="00D635D4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8968F1" w:rsidRDefault="008968F1" w:rsidP="00DD5C4E">
      <w:pPr>
        <w:widowControl w:val="0"/>
        <w:ind w:firstLine="709"/>
        <w:jc w:val="both"/>
        <w:rPr>
          <w:sz w:val="28"/>
          <w:szCs w:val="28"/>
        </w:rPr>
      </w:pPr>
    </w:p>
    <w:p w:rsidR="00DD5C4E" w:rsidRPr="00D635D4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D635D4">
        <w:rPr>
          <w:sz w:val="28"/>
          <w:szCs w:val="28"/>
        </w:rPr>
        <w:t xml:space="preserve">                   </w:t>
      </w:r>
      <w:r w:rsidR="00F92DF8">
        <w:rPr>
          <w:sz w:val="28"/>
          <w:szCs w:val="28"/>
        </w:rPr>
        <w:t>1 111,6</w:t>
      </w:r>
      <w:r w:rsidRPr="00D635D4">
        <w:rPr>
          <w:sz w:val="28"/>
          <w:szCs w:val="28"/>
        </w:rPr>
        <w:t xml:space="preserve"> млн. рублей или</w:t>
      </w:r>
      <w:r w:rsidR="00967242" w:rsidRPr="00D635D4">
        <w:rPr>
          <w:sz w:val="28"/>
          <w:szCs w:val="28"/>
        </w:rPr>
        <w:t xml:space="preserve"> около </w:t>
      </w:r>
      <w:r w:rsidR="00F92DF8">
        <w:rPr>
          <w:sz w:val="28"/>
          <w:szCs w:val="28"/>
        </w:rPr>
        <w:t>19</w:t>
      </w:r>
      <w:r w:rsidRPr="00D635D4">
        <w:rPr>
          <w:sz w:val="28"/>
          <w:szCs w:val="28"/>
        </w:rPr>
        <w:t>% от суммы всех закупок.</w:t>
      </w:r>
    </w:p>
    <w:p w:rsidR="00F92DF8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lastRenderedPageBreak/>
        <w:t xml:space="preserve">Среди закупок у единственного поставщика, основная доля приходится </w:t>
      </w:r>
      <w:r w:rsidR="001732F8">
        <w:rPr>
          <w:sz w:val="28"/>
          <w:szCs w:val="28"/>
        </w:rPr>
        <w:t xml:space="preserve">               </w:t>
      </w:r>
      <w:r w:rsidRPr="00D635D4">
        <w:rPr>
          <w:sz w:val="28"/>
          <w:szCs w:val="28"/>
        </w:rPr>
        <w:t xml:space="preserve">на закупки малого объема – </w:t>
      </w:r>
      <w:r w:rsidR="00F92DF8">
        <w:rPr>
          <w:sz w:val="28"/>
          <w:szCs w:val="28"/>
        </w:rPr>
        <w:t>67</w:t>
      </w:r>
      <w:r w:rsidRPr="00D635D4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 w:rsidR="00F92DF8">
        <w:rPr>
          <w:sz w:val="28"/>
          <w:szCs w:val="28"/>
        </w:rPr>
        <w:t>30</w:t>
      </w:r>
      <w:r w:rsidRPr="00D635D4">
        <w:rPr>
          <w:sz w:val="28"/>
          <w:szCs w:val="28"/>
        </w:rPr>
        <w:t xml:space="preserve">%, на остальные закупки приходится </w:t>
      </w:r>
      <w:r w:rsidR="00F92DF8">
        <w:rPr>
          <w:sz w:val="28"/>
          <w:szCs w:val="28"/>
        </w:rPr>
        <w:t>3</w:t>
      </w:r>
      <w:r w:rsidRPr="00D635D4">
        <w:rPr>
          <w:sz w:val="28"/>
          <w:szCs w:val="28"/>
        </w:rPr>
        <w:t>%.</w:t>
      </w:r>
    </w:p>
    <w:p w:rsidR="00E4732D" w:rsidRDefault="00E4732D" w:rsidP="00DD5C4E">
      <w:pPr>
        <w:widowControl w:val="0"/>
        <w:ind w:firstLine="709"/>
        <w:jc w:val="both"/>
        <w:rPr>
          <w:sz w:val="28"/>
          <w:szCs w:val="28"/>
        </w:rPr>
      </w:pPr>
    </w:p>
    <w:p w:rsidR="001732F8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закупок по способу определения поставщика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949"/>
        <w:gridCol w:w="1985"/>
        <w:gridCol w:w="2368"/>
      </w:tblGrid>
      <w:tr w:rsidR="00357BC7" w:rsidRPr="00357BC7" w:rsidTr="0030230C">
        <w:trPr>
          <w:trHeight w:val="850"/>
          <w:jc w:val="center"/>
        </w:trPr>
        <w:tc>
          <w:tcPr>
            <w:tcW w:w="3256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Способ определения </w:t>
            </w:r>
          </w:p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поставщика (подрядчика, исполнителя)</w:t>
            </w:r>
          </w:p>
        </w:tc>
        <w:tc>
          <w:tcPr>
            <w:tcW w:w="1949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Количество </w:t>
            </w:r>
          </w:p>
          <w:p w:rsidR="00577DC3" w:rsidRPr="00357BC7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контрактов</w:t>
            </w:r>
            <w:r w:rsidR="00577DC3" w:rsidRPr="00357BC7">
              <w:rPr>
                <w:b/>
              </w:rPr>
              <w:t>, шт.</w:t>
            </w:r>
          </w:p>
        </w:tc>
        <w:tc>
          <w:tcPr>
            <w:tcW w:w="1985" w:type="dxa"/>
            <w:vAlign w:val="center"/>
          </w:tcPr>
          <w:p w:rsidR="00577DC3" w:rsidRPr="00357BC7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Объем закупок, млн. руб.</w:t>
            </w:r>
          </w:p>
        </w:tc>
        <w:tc>
          <w:tcPr>
            <w:tcW w:w="2368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Доля </w:t>
            </w:r>
          </w:p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от размещенного объема закупок</w:t>
            </w:r>
          </w:p>
        </w:tc>
      </w:tr>
      <w:tr w:rsidR="00357BC7" w:rsidRPr="00357BC7" w:rsidTr="0030230C">
        <w:trPr>
          <w:trHeight w:val="4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Открытый конкурс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F92DF8" w:rsidP="00F92DF8">
            <w:pPr>
              <w:widowControl w:val="0"/>
              <w:jc w:val="center"/>
            </w:pPr>
            <w:r>
              <w:t>1 082,0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F92DF8" w:rsidP="0030230C">
            <w:pPr>
              <w:jc w:val="center"/>
            </w:pPr>
            <w:r>
              <w:t>18%</w:t>
            </w:r>
          </w:p>
        </w:tc>
      </w:tr>
      <w:tr w:rsidR="00357BC7" w:rsidRPr="00357BC7" w:rsidTr="0030230C">
        <w:trPr>
          <w:trHeight w:val="41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Открытый аукцион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703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3 670,0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F92DF8" w:rsidP="0030230C">
            <w:pPr>
              <w:jc w:val="center"/>
            </w:pPr>
            <w:r>
              <w:t>62</w:t>
            </w:r>
            <w:r w:rsidR="00057B5D">
              <w:t>%</w:t>
            </w:r>
          </w:p>
        </w:tc>
      </w:tr>
      <w:tr w:rsidR="00357BC7" w:rsidRPr="00357BC7" w:rsidTr="0030230C">
        <w:trPr>
          <w:trHeight w:val="40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F92DF8" w:rsidP="00B96FC8">
            <w:pPr>
              <w:widowControl w:val="0"/>
              <w:jc w:val="center"/>
            </w:pPr>
            <w:r>
              <w:t>258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49,5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057B5D" w:rsidP="0030230C">
            <w:pPr>
              <w:jc w:val="center"/>
            </w:pPr>
            <w:r>
              <w:t>1%</w:t>
            </w:r>
          </w:p>
        </w:tc>
      </w:tr>
      <w:tr w:rsidR="00357BC7" w:rsidRPr="00357BC7" w:rsidTr="0030230C">
        <w:trPr>
          <w:trHeight w:val="556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Итого конкурентными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способами </w:t>
            </w:r>
          </w:p>
        </w:tc>
        <w:tc>
          <w:tcPr>
            <w:tcW w:w="1949" w:type="dxa"/>
            <w:vAlign w:val="center"/>
          </w:tcPr>
          <w:p w:rsidR="00DD5C4E" w:rsidRPr="00357BC7" w:rsidRDefault="00F92DF8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1 049</w:t>
            </w:r>
          </w:p>
        </w:tc>
        <w:tc>
          <w:tcPr>
            <w:tcW w:w="1985" w:type="dxa"/>
            <w:vAlign w:val="center"/>
          </w:tcPr>
          <w:p w:rsidR="00DD5C4E" w:rsidRPr="00357BC7" w:rsidRDefault="00F92DF8" w:rsidP="00F92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4 801,5</w:t>
            </w:r>
          </w:p>
        </w:tc>
        <w:tc>
          <w:tcPr>
            <w:tcW w:w="2368" w:type="dxa"/>
            <w:vAlign w:val="center"/>
          </w:tcPr>
          <w:p w:rsidR="00DD5C4E" w:rsidRPr="00357BC7" w:rsidRDefault="00F92DF8" w:rsidP="00302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30230C" w:rsidRPr="00357BC7">
              <w:rPr>
                <w:b/>
                <w:bCs/>
              </w:rPr>
              <w:t>%</w:t>
            </w:r>
          </w:p>
        </w:tc>
      </w:tr>
      <w:tr w:rsidR="00357BC7" w:rsidRPr="00357BC7" w:rsidTr="00A77C1B">
        <w:trPr>
          <w:trHeight w:val="143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Единственный поставщик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(за исключением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п. 4, 5</w:t>
            </w:r>
            <w:r w:rsidR="00EB0D67" w:rsidRPr="00357BC7">
              <w:t>, 25</w:t>
            </w:r>
            <w:r w:rsidRPr="00357BC7">
              <w:t xml:space="preserve"> ч.1 ст. 93 Закона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о контрактной системе)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357BC7" w:rsidRDefault="00F92DF8" w:rsidP="00F92DF8">
            <w:pPr>
              <w:widowControl w:val="0"/>
              <w:jc w:val="center"/>
            </w:pPr>
            <w:r>
              <w:t>367,8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6</w:t>
            </w:r>
            <w:r w:rsidR="0030230C" w:rsidRPr="00357BC7">
              <w:t>%</w:t>
            </w:r>
          </w:p>
        </w:tc>
      </w:tr>
      <w:tr w:rsidR="00357BC7" w:rsidRPr="00357BC7" w:rsidTr="0030230C">
        <w:trPr>
          <w:trHeight w:val="410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Закупки малого объема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8 056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357BC7" w:rsidRDefault="00F92DF8" w:rsidP="00DD5C4E">
            <w:pPr>
              <w:widowControl w:val="0"/>
              <w:jc w:val="center"/>
            </w:pPr>
            <w:r>
              <w:t>743,8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57BC7" w:rsidRDefault="00057B5D" w:rsidP="00F92DF8">
            <w:pPr>
              <w:widowControl w:val="0"/>
              <w:jc w:val="center"/>
            </w:pPr>
            <w:r>
              <w:t>1</w:t>
            </w:r>
            <w:r w:rsidR="00F92DF8">
              <w:t>3</w:t>
            </w:r>
            <w:r w:rsidR="0030230C" w:rsidRPr="00357BC7">
              <w:t>%</w:t>
            </w:r>
          </w:p>
        </w:tc>
      </w:tr>
      <w:tr w:rsidR="00357BC7" w:rsidRPr="00357BC7" w:rsidTr="0030230C">
        <w:trPr>
          <w:trHeight w:val="559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ИТОГО по всем закупкам</w:t>
            </w:r>
          </w:p>
        </w:tc>
        <w:tc>
          <w:tcPr>
            <w:tcW w:w="1949" w:type="dxa"/>
            <w:vAlign w:val="center"/>
          </w:tcPr>
          <w:p w:rsidR="00DD5C4E" w:rsidRPr="00357BC7" w:rsidRDefault="00F92DF8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9 382</w:t>
            </w:r>
          </w:p>
        </w:tc>
        <w:tc>
          <w:tcPr>
            <w:tcW w:w="1985" w:type="dxa"/>
            <w:vAlign w:val="center"/>
          </w:tcPr>
          <w:p w:rsidR="00DD5C4E" w:rsidRPr="00357BC7" w:rsidRDefault="00F92DF8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5 913,1</w:t>
            </w:r>
          </w:p>
        </w:tc>
        <w:tc>
          <w:tcPr>
            <w:tcW w:w="2368" w:type="dxa"/>
            <w:vAlign w:val="center"/>
          </w:tcPr>
          <w:p w:rsidR="00DD5C4E" w:rsidRPr="00357BC7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100%</w:t>
            </w:r>
          </w:p>
        </w:tc>
      </w:tr>
    </w:tbl>
    <w:p w:rsidR="00A77C1B" w:rsidRDefault="00A77C1B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D87B41" w:rsidRPr="00363EDD" w:rsidRDefault="00D87B41" w:rsidP="00D87B41">
      <w:pPr>
        <w:ind w:firstLine="709"/>
        <w:jc w:val="both"/>
        <w:rPr>
          <w:sz w:val="28"/>
          <w:szCs w:val="28"/>
        </w:rPr>
      </w:pPr>
      <w:r w:rsidRPr="00363ED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90</w:t>
      </w:r>
      <w:r w:rsidRPr="00363EDD">
        <w:rPr>
          <w:sz w:val="28"/>
          <w:szCs w:val="28"/>
        </w:rPr>
        <w:t>% стоимостного объема закупок приходится на</w:t>
      </w:r>
      <w:r>
        <w:rPr>
          <w:sz w:val="28"/>
          <w:szCs w:val="28"/>
        </w:rPr>
        <w:t xml:space="preserve"> строительные          и ремонтные работы</w:t>
      </w:r>
      <w:r w:rsidRPr="00363E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коммунальные услуги, поставку продуктов питания                   и организации питания образовательных учреждений, </w:t>
      </w:r>
      <w:r w:rsidRPr="00363EDD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квартир, компьютерной техники, мебели</w:t>
      </w:r>
      <w:r w:rsidRPr="00363E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финансовых и </w:t>
      </w:r>
      <w:r w:rsidRPr="00363ED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363EDD">
        <w:rPr>
          <w:sz w:val="28"/>
          <w:szCs w:val="28"/>
        </w:rPr>
        <w:t xml:space="preserve">услуг, услуг в области информации и связи, </w:t>
      </w:r>
      <w:r>
        <w:rPr>
          <w:sz w:val="28"/>
          <w:szCs w:val="28"/>
        </w:rPr>
        <w:t xml:space="preserve">услуг, </w:t>
      </w:r>
      <w:r w:rsidRPr="00363EDD">
        <w:rPr>
          <w:sz w:val="28"/>
          <w:szCs w:val="28"/>
        </w:rPr>
        <w:t>связанных с научной и инженерно</w:t>
      </w:r>
      <w:r w:rsidRPr="00363EDD">
        <w:rPr>
          <w:sz w:val="28"/>
          <w:szCs w:val="28"/>
        </w:rPr>
        <w:noBreakHyphen/>
        <w:t xml:space="preserve">технической деятельностью. Закупки иных </w:t>
      </w:r>
      <w:r>
        <w:rPr>
          <w:sz w:val="28"/>
          <w:szCs w:val="28"/>
        </w:rPr>
        <w:t>товаров, работ, услуг</w:t>
      </w:r>
      <w:r w:rsidRPr="00363EDD">
        <w:rPr>
          <w:sz w:val="28"/>
          <w:szCs w:val="28"/>
        </w:rPr>
        <w:t xml:space="preserve"> по стоимостному объему</w:t>
      </w:r>
      <w:r>
        <w:rPr>
          <w:sz w:val="28"/>
          <w:szCs w:val="28"/>
        </w:rPr>
        <w:t xml:space="preserve">                </w:t>
      </w:r>
      <w:r w:rsidRPr="00363EDD">
        <w:rPr>
          <w:sz w:val="28"/>
          <w:szCs w:val="28"/>
        </w:rPr>
        <w:t xml:space="preserve">не превышают </w:t>
      </w:r>
      <w:r>
        <w:rPr>
          <w:sz w:val="28"/>
          <w:szCs w:val="28"/>
        </w:rPr>
        <w:t>1</w:t>
      </w:r>
      <w:r w:rsidRPr="00363EDD">
        <w:rPr>
          <w:sz w:val="28"/>
          <w:szCs w:val="28"/>
        </w:rPr>
        <w:t>0%.</w:t>
      </w:r>
    </w:p>
    <w:p w:rsidR="00D87B41" w:rsidRDefault="00D87B41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1732F8" w:rsidRPr="00A77C1B" w:rsidRDefault="00D00B27" w:rsidP="00A77C1B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876925" cy="6000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621" w:rsidRDefault="00D51621" w:rsidP="00363EDD">
      <w:pPr>
        <w:ind w:firstLine="709"/>
        <w:jc w:val="both"/>
        <w:rPr>
          <w:sz w:val="28"/>
          <w:szCs w:val="28"/>
        </w:rPr>
      </w:pPr>
    </w:p>
    <w:p w:rsidR="00363EDD" w:rsidRDefault="00363EDD" w:rsidP="00363EDD">
      <w:pPr>
        <w:ind w:firstLine="709"/>
        <w:jc w:val="both"/>
        <w:rPr>
          <w:sz w:val="28"/>
          <w:szCs w:val="28"/>
        </w:rPr>
      </w:pPr>
    </w:p>
    <w:p w:rsidR="00227582" w:rsidRPr="00363EDD" w:rsidRDefault="008A40DE" w:rsidP="00B653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EDD">
        <w:rPr>
          <w:sz w:val="28"/>
          <w:szCs w:val="28"/>
        </w:rPr>
        <w:t>В соответствии с дейст</w:t>
      </w:r>
      <w:r w:rsidR="00D51621">
        <w:rPr>
          <w:sz w:val="28"/>
          <w:szCs w:val="28"/>
        </w:rPr>
        <w:t>вующим законодательством, одним</w:t>
      </w:r>
      <w:r w:rsidRPr="00363EDD">
        <w:rPr>
          <w:sz w:val="28"/>
          <w:szCs w:val="28"/>
        </w:rPr>
        <w:t xml:space="preserve"> из важнейших принципов</w:t>
      </w:r>
      <w:r w:rsidR="00B6538D">
        <w:rPr>
          <w:sz w:val="28"/>
          <w:szCs w:val="28"/>
        </w:rPr>
        <w:t xml:space="preserve"> </w:t>
      </w:r>
      <w:r w:rsidRPr="00363EDD">
        <w:rPr>
          <w:sz w:val="28"/>
          <w:szCs w:val="28"/>
        </w:rPr>
        <w:t>контрактной системы являются обеспечение ко</w:t>
      </w:r>
      <w:r w:rsidR="00B6538D">
        <w:rPr>
          <w:sz w:val="28"/>
          <w:szCs w:val="28"/>
        </w:rPr>
        <w:t>нкуренции осуществления закупок. В</w:t>
      </w:r>
      <w:r w:rsidRPr="00363EDD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>
        <w:rPr>
          <w:sz w:val="28"/>
          <w:szCs w:val="28"/>
        </w:rPr>
        <w:t xml:space="preserve"> Так, д</w:t>
      </w:r>
      <w:r w:rsidR="00D248CF" w:rsidRPr="00363EDD">
        <w:rPr>
          <w:rFonts w:eastAsia="Calibri"/>
          <w:sz w:val="28"/>
          <w:szCs w:val="28"/>
          <w:lang w:eastAsia="en-US"/>
        </w:rPr>
        <w:t>ля</w:t>
      </w:r>
      <w:r w:rsidR="00890E66" w:rsidRPr="00363EDD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5A59A7" w:rsidRPr="00363EDD">
        <w:rPr>
          <w:rFonts w:eastAsia="Calibri"/>
          <w:sz w:val="28"/>
          <w:szCs w:val="28"/>
          <w:lang w:eastAsia="en-US"/>
        </w:rPr>
        <w:t xml:space="preserve"> в</w:t>
      </w:r>
      <w:r w:rsidR="00AA250A" w:rsidRPr="00363EDD">
        <w:rPr>
          <w:rFonts w:eastAsia="Calibri"/>
          <w:sz w:val="28"/>
          <w:szCs w:val="28"/>
          <w:lang w:eastAsia="en-US"/>
        </w:rPr>
        <w:t xml:space="preserve"> </w:t>
      </w:r>
      <w:r w:rsidR="00292CF0" w:rsidRPr="00363EDD">
        <w:rPr>
          <w:rFonts w:eastAsia="Calibri"/>
          <w:sz w:val="28"/>
          <w:szCs w:val="28"/>
          <w:lang w:eastAsia="en-US"/>
        </w:rPr>
        <w:t>2021</w:t>
      </w:r>
      <w:r w:rsidR="00227582" w:rsidRPr="00363EDD">
        <w:rPr>
          <w:rFonts w:eastAsia="Calibri"/>
          <w:sz w:val="28"/>
          <w:szCs w:val="28"/>
          <w:lang w:eastAsia="en-US"/>
        </w:rPr>
        <w:t xml:space="preserve"> год</w:t>
      </w:r>
      <w:r w:rsidR="005A59A7" w:rsidRPr="00363EDD">
        <w:rPr>
          <w:rFonts w:eastAsia="Calibri"/>
          <w:sz w:val="28"/>
          <w:szCs w:val="28"/>
          <w:lang w:eastAsia="en-US"/>
        </w:rPr>
        <w:t>у</w:t>
      </w:r>
      <w:r w:rsidR="00890E66" w:rsidRPr="00363EDD">
        <w:rPr>
          <w:rFonts w:eastAsia="Calibri"/>
          <w:sz w:val="28"/>
          <w:szCs w:val="28"/>
          <w:lang w:eastAsia="en-US"/>
        </w:rPr>
        <w:t>, было подано</w:t>
      </w:r>
      <w:r w:rsidR="00227582" w:rsidRPr="00363EDD">
        <w:rPr>
          <w:rFonts w:eastAsia="Calibri"/>
          <w:sz w:val="28"/>
          <w:szCs w:val="28"/>
          <w:lang w:eastAsia="en-US"/>
        </w:rPr>
        <w:t xml:space="preserve"> </w:t>
      </w:r>
      <w:r w:rsidR="005A59A7" w:rsidRPr="00363EDD">
        <w:rPr>
          <w:rFonts w:eastAsia="Calibri"/>
          <w:sz w:val="28"/>
          <w:szCs w:val="28"/>
          <w:lang w:eastAsia="en-US"/>
        </w:rPr>
        <w:t>3 489</w:t>
      </w:r>
      <w:r w:rsidR="00227582" w:rsidRPr="00363EDD">
        <w:rPr>
          <w:rFonts w:eastAsia="Calibri"/>
          <w:sz w:val="28"/>
          <w:szCs w:val="28"/>
          <w:lang w:eastAsia="en-US"/>
        </w:rPr>
        <w:t xml:space="preserve"> заяв</w:t>
      </w:r>
      <w:r w:rsidR="003C5E64" w:rsidRPr="00363EDD">
        <w:rPr>
          <w:rFonts w:eastAsia="Calibri"/>
          <w:sz w:val="28"/>
          <w:szCs w:val="28"/>
          <w:lang w:eastAsia="en-US"/>
        </w:rPr>
        <w:t>ок.</w:t>
      </w:r>
    </w:p>
    <w:p w:rsidR="008968F1" w:rsidRDefault="008968F1" w:rsidP="00363EDD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491B" w:rsidRPr="00363EDD" w:rsidRDefault="00AD491B" w:rsidP="00363EDD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63EDD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363EDD">
        <w:rPr>
          <w:rFonts w:eastAsia="Calibri"/>
          <w:sz w:val="28"/>
          <w:szCs w:val="28"/>
          <w:lang w:eastAsia="en-US"/>
        </w:rPr>
        <w:t>участников</w:t>
      </w:r>
      <w:r w:rsidRPr="00363EDD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363EDD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363EDD">
        <w:rPr>
          <w:rFonts w:eastAsia="Calibri"/>
          <w:sz w:val="28"/>
          <w:szCs w:val="28"/>
          <w:lang w:eastAsia="en-US"/>
        </w:rPr>
        <w:t>3</w:t>
      </w:r>
      <w:r w:rsidR="009A3BC1" w:rsidRPr="00363EDD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363EDD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363EDD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363EDD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Default="00D940CD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Default="005A59A7" w:rsidP="005A59A7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C2595">
        <w:rPr>
          <w:rFonts w:eastAsia="Calibri"/>
          <w:sz w:val="28"/>
          <w:szCs w:val="28"/>
          <w:lang w:eastAsia="en-US"/>
        </w:rPr>
        <w:t xml:space="preserve">В 2021 году продолжена практика проведения совместных закупок,                        по итогам 51 совместного аукциона и конкурса заключено 232 контракта </w:t>
      </w:r>
      <w:r w:rsidR="001732F8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3C2595">
        <w:rPr>
          <w:rFonts w:eastAsia="Calibri"/>
          <w:sz w:val="28"/>
          <w:szCs w:val="28"/>
          <w:lang w:eastAsia="en-US"/>
        </w:rPr>
        <w:lastRenderedPageBreak/>
        <w:t xml:space="preserve">на сумму 137,0 млн. рублей. </w:t>
      </w:r>
      <w:r w:rsidRPr="00357BC7">
        <w:rPr>
          <w:rFonts w:eastAsia="Calibri"/>
          <w:sz w:val="28"/>
          <w:szCs w:val="28"/>
          <w:lang w:eastAsia="en-US"/>
        </w:rPr>
        <w:t xml:space="preserve">Объектами закупок являлись: </w:t>
      </w:r>
      <w:r w:rsidRPr="0016315B">
        <w:rPr>
          <w:rFonts w:eastAsia="Calibri"/>
          <w:sz w:val="28"/>
          <w:szCs w:val="28"/>
          <w:lang w:eastAsia="en-US"/>
        </w:rPr>
        <w:t>организация питания обучающихся общеобразовательных учреждений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57BC7">
        <w:rPr>
          <w:rFonts w:eastAsia="Calibri"/>
          <w:sz w:val="28"/>
          <w:szCs w:val="28"/>
          <w:lang w:eastAsia="en-US"/>
        </w:rPr>
        <w:t>поставка продуктов питания для муниципальных бюджетных дошкольных образовательных учреждений</w:t>
      </w:r>
      <w:r>
        <w:rPr>
          <w:rFonts w:eastAsia="Calibri"/>
          <w:sz w:val="28"/>
          <w:szCs w:val="28"/>
          <w:lang w:eastAsia="en-US"/>
        </w:rPr>
        <w:t>,</w:t>
      </w:r>
      <w:r w:rsidRPr="00357BC7">
        <w:rPr>
          <w:rFonts w:eastAsia="Calibri"/>
          <w:sz w:val="28"/>
          <w:szCs w:val="28"/>
          <w:lang w:eastAsia="en-US"/>
        </w:rPr>
        <w:t xml:space="preserve"> поставка </w:t>
      </w:r>
      <w:r>
        <w:rPr>
          <w:rFonts w:eastAsia="Calibri"/>
          <w:sz w:val="28"/>
          <w:szCs w:val="28"/>
          <w:lang w:eastAsia="en-US"/>
        </w:rPr>
        <w:t xml:space="preserve">ноутбуков, </w:t>
      </w:r>
      <w:r w:rsidRPr="00357BC7">
        <w:rPr>
          <w:rFonts w:eastAsia="Calibri"/>
          <w:sz w:val="28"/>
          <w:szCs w:val="28"/>
          <w:lang w:eastAsia="en-US"/>
        </w:rPr>
        <w:t>бумаги, наборов для игр в шахматы для муниципальных бюджетных общеобразовательных учреждений,</w:t>
      </w:r>
      <w:r>
        <w:rPr>
          <w:rFonts w:eastAsia="Calibri"/>
          <w:sz w:val="28"/>
          <w:szCs w:val="28"/>
          <w:lang w:eastAsia="en-US"/>
        </w:rPr>
        <w:t xml:space="preserve"> оказание </w:t>
      </w:r>
      <w:r w:rsidRPr="00357BC7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7BC7">
        <w:rPr>
          <w:rFonts w:eastAsia="Calibri"/>
          <w:sz w:val="28"/>
          <w:szCs w:val="28"/>
          <w:lang w:eastAsia="en-US"/>
        </w:rPr>
        <w:t>по проведению периодического медицинского осмотра сотрудников муниципальных бюджетных учреждений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6315B">
        <w:rPr>
          <w:rFonts w:eastAsia="Calibri"/>
          <w:sz w:val="28"/>
          <w:szCs w:val="28"/>
          <w:lang w:eastAsia="en-US"/>
        </w:rPr>
        <w:t>оказание услуг по охране муниципальных бюджетных</w:t>
      </w:r>
      <w:r>
        <w:rPr>
          <w:rFonts w:eastAsia="Calibri"/>
          <w:sz w:val="28"/>
          <w:szCs w:val="28"/>
          <w:lang w:eastAsia="en-US"/>
        </w:rPr>
        <w:t xml:space="preserve"> общеобразовательных учреждений</w:t>
      </w:r>
      <w:r w:rsidRPr="00357BC7">
        <w:rPr>
          <w:rFonts w:eastAsia="Calibri"/>
          <w:sz w:val="28"/>
          <w:szCs w:val="28"/>
          <w:lang w:eastAsia="en-US"/>
        </w:rPr>
        <w:t xml:space="preserve">. Впервые проведена совместная закупка, заказчиками которой выступали </w:t>
      </w:r>
      <w:r>
        <w:rPr>
          <w:rFonts w:eastAsia="Calibri"/>
          <w:sz w:val="28"/>
          <w:szCs w:val="28"/>
          <w:lang w:eastAsia="en-US"/>
        </w:rPr>
        <w:t>25 учреждений образования.</w:t>
      </w:r>
    </w:p>
    <w:p w:rsidR="008968F1" w:rsidRDefault="008968F1" w:rsidP="005A59A7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357BC7" w:rsidRDefault="005A59A7" w:rsidP="005A59A7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Pr="00357BC7">
        <w:rPr>
          <w:rFonts w:eastAsia="Calibri"/>
          <w:sz w:val="28"/>
          <w:szCs w:val="28"/>
          <w:lang w:eastAsia="en-US"/>
        </w:rPr>
        <w:t xml:space="preserve">кономия бюджетных средств </w:t>
      </w:r>
      <w:r>
        <w:rPr>
          <w:rFonts w:eastAsia="Calibri"/>
          <w:sz w:val="28"/>
          <w:szCs w:val="28"/>
          <w:lang w:eastAsia="en-US"/>
        </w:rPr>
        <w:t>в</w:t>
      </w:r>
      <w:r w:rsidRPr="00357BC7">
        <w:rPr>
          <w:rFonts w:eastAsia="Calibri"/>
          <w:sz w:val="28"/>
          <w:szCs w:val="28"/>
          <w:lang w:eastAsia="en-US"/>
        </w:rPr>
        <w:t xml:space="preserve"> результат</w:t>
      </w:r>
      <w:r>
        <w:rPr>
          <w:rFonts w:eastAsia="Calibri"/>
          <w:sz w:val="28"/>
          <w:szCs w:val="28"/>
          <w:lang w:eastAsia="en-US"/>
        </w:rPr>
        <w:t>е</w:t>
      </w:r>
      <w:r w:rsidRPr="00357BC7">
        <w:rPr>
          <w:rFonts w:eastAsia="Calibri"/>
          <w:sz w:val="28"/>
          <w:szCs w:val="28"/>
          <w:lang w:eastAsia="en-US"/>
        </w:rPr>
        <w:t xml:space="preserve"> проведения совместных аукционов</w:t>
      </w:r>
      <w:r>
        <w:rPr>
          <w:rFonts w:eastAsia="Calibri"/>
          <w:sz w:val="28"/>
          <w:szCs w:val="28"/>
          <w:lang w:eastAsia="en-US"/>
        </w:rPr>
        <w:t xml:space="preserve"> и конкурсов </w:t>
      </w:r>
      <w:r w:rsidRPr="00357BC7">
        <w:rPr>
          <w:rFonts w:eastAsia="Calibri"/>
          <w:sz w:val="28"/>
          <w:szCs w:val="28"/>
          <w:lang w:eastAsia="en-US"/>
        </w:rPr>
        <w:t xml:space="preserve">составила </w:t>
      </w:r>
      <w:r>
        <w:rPr>
          <w:rFonts w:eastAsia="Calibri"/>
          <w:sz w:val="28"/>
          <w:szCs w:val="28"/>
          <w:lang w:eastAsia="en-US"/>
        </w:rPr>
        <w:t>41,2</w:t>
      </w:r>
      <w:r w:rsidRPr="00357BC7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9C100D" w:rsidRPr="00357BC7" w:rsidRDefault="009C100D" w:rsidP="009E61E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655E60" w:rsidRPr="00357BC7" w:rsidRDefault="00AD491B" w:rsidP="00707AB1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655E60" w:rsidRPr="00357BC7">
        <w:rPr>
          <w:i/>
          <w:sz w:val="28"/>
          <w:szCs w:val="28"/>
        </w:rPr>
        <w:t>3.</w:t>
      </w:r>
      <w:r w:rsidR="00DD5C4E" w:rsidRPr="00357BC7">
        <w:rPr>
          <w:i/>
          <w:sz w:val="28"/>
          <w:szCs w:val="28"/>
        </w:rPr>
        <w:t>2</w:t>
      </w:r>
      <w:r w:rsidR="00655E60" w:rsidRPr="00357BC7">
        <w:rPr>
          <w:i/>
          <w:sz w:val="28"/>
          <w:szCs w:val="28"/>
        </w:rPr>
        <w:t>. Информац</w:t>
      </w:r>
      <w:r w:rsidR="00E26737" w:rsidRPr="00357BC7">
        <w:rPr>
          <w:i/>
          <w:sz w:val="28"/>
          <w:szCs w:val="28"/>
        </w:rPr>
        <w:t>и</w:t>
      </w:r>
      <w:r w:rsidR="00655E60" w:rsidRPr="00357BC7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7438E6" w:rsidRPr="00357BC7" w:rsidRDefault="007438E6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357BC7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57BC7">
        <w:rPr>
          <w:sz w:val="28"/>
          <w:szCs w:val="28"/>
        </w:rPr>
        <w:t>при осуществлении</w:t>
      </w:r>
      <w:r w:rsidR="00457D20" w:rsidRPr="00357BC7">
        <w:rPr>
          <w:sz w:val="28"/>
          <w:szCs w:val="28"/>
        </w:rPr>
        <w:t xml:space="preserve"> </w:t>
      </w:r>
      <w:r w:rsidR="001C2C2A" w:rsidRPr="00357BC7">
        <w:rPr>
          <w:sz w:val="28"/>
          <w:szCs w:val="28"/>
        </w:rPr>
        <w:t xml:space="preserve">            </w:t>
      </w:r>
      <w:r w:rsidR="00AE47DB" w:rsidRPr="00357BC7">
        <w:rPr>
          <w:sz w:val="28"/>
          <w:szCs w:val="28"/>
        </w:rPr>
        <w:t xml:space="preserve">закупок </w:t>
      </w:r>
      <w:r w:rsidRPr="00357BC7">
        <w:rPr>
          <w:sz w:val="28"/>
          <w:szCs w:val="28"/>
        </w:rPr>
        <w:t>преимущества предоставляются</w:t>
      </w:r>
      <w:r w:rsidR="00AE47DB" w:rsidRPr="00357BC7">
        <w:rPr>
          <w:sz w:val="28"/>
          <w:szCs w:val="28"/>
        </w:rPr>
        <w:t>:</w:t>
      </w:r>
    </w:p>
    <w:p w:rsidR="00AE47DB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>-</w:t>
      </w:r>
      <w:r w:rsidR="00655E60" w:rsidRPr="00357BC7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655E60" w:rsidRPr="00357BC7">
        <w:rPr>
          <w:sz w:val="28"/>
          <w:szCs w:val="28"/>
        </w:rPr>
        <w:t xml:space="preserve">организациям инвалидов; </w:t>
      </w:r>
    </w:p>
    <w:p w:rsidR="00655E60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655E60" w:rsidRPr="00357BC7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A77C1B" w:rsidRPr="00357BC7" w:rsidRDefault="00A77C1B" w:rsidP="003A00F0">
      <w:pPr>
        <w:widowControl w:val="0"/>
        <w:ind w:firstLine="709"/>
        <w:jc w:val="both"/>
        <w:rPr>
          <w:sz w:val="20"/>
          <w:szCs w:val="20"/>
        </w:rPr>
      </w:pPr>
    </w:p>
    <w:p w:rsidR="0028384A" w:rsidRPr="00357BC7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7BC7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357BC7">
        <w:rPr>
          <w:sz w:val="28"/>
          <w:szCs w:val="28"/>
        </w:rPr>
        <w:t xml:space="preserve"> </w:t>
      </w:r>
      <w:r w:rsidR="00552237" w:rsidRPr="00357BC7">
        <w:rPr>
          <w:sz w:val="28"/>
          <w:szCs w:val="28"/>
        </w:rPr>
        <w:t xml:space="preserve">               </w:t>
      </w:r>
      <w:r w:rsidRPr="00357BC7">
        <w:rPr>
          <w:sz w:val="28"/>
          <w:szCs w:val="28"/>
        </w:rPr>
        <w:t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</w:t>
      </w:r>
      <w:r w:rsidR="0028384A">
        <w:rPr>
          <w:sz w:val="28"/>
          <w:szCs w:val="28"/>
        </w:rPr>
        <w:t xml:space="preserve">упного годового объема закупок, с 01.01.2022 </w:t>
      </w:r>
      <w:r w:rsidR="008348F2">
        <w:rPr>
          <w:sz w:val="28"/>
          <w:szCs w:val="28"/>
        </w:rPr>
        <w:t>обязательный</w:t>
      </w:r>
      <w:r w:rsidR="0028384A">
        <w:rPr>
          <w:sz w:val="28"/>
          <w:szCs w:val="28"/>
        </w:rPr>
        <w:t xml:space="preserve"> объем состав</w:t>
      </w:r>
      <w:r w:rsidR="008968F1">
        <w:rPr>
          <w:sz w:val="28"/>
          <w:szCs w:val="28"/>
        </w:rPr>
        <w:t>ляет</w:t>
      </w:r>
      <w:r w:rsidR="0028384A">
        <w:rPr>
          <w:sz w:val="28"/>
          <w:szCs w:val="28"/>
        </w:rPr>
        <w:t xml:space="preserve"> 25%.  </w:t>
      </w:r>
    </w:p>
    <w:p w:rsidR="008968F1" w:rsidRDefault="008968F1" w:rsidP="005A59A7">
      <w:pPr>
        <w:widowControl w:val="0"/>
        <w:ind w:firstLine="709"/>
        <w:jc w:val="both"/>
        <w:rPr>
          <w:sz w:val="28"/>
          <w:szCs w:val="28"/>
        </w:rPr>
      </w:pPr>
    </w:p>
    <w:p w:rsidR="005A59A7" w:rsidRPr="005A1DC6" w:rsidRDefault="005A59A7" w:rsidP="005A59A7">
      <w:pPr>
        <w:widowControl w:val="0"/>
        <w:ind w:firstLine="709"/>
        <w:jc w:val="both"/>
        <w:rPr>
          <w:sz w:val="28"/>
          <w:szCs w:val="28"/>
        </w:rPr>
      </w:pPr>
      <w:r w:rsidRPr="000179DA">
        <w:rPr>
          <w:sz w:val="28"/>
          <w:szCs w:val="28"/>
        </w:rPr>
        <w:t>С субъектами малого предпринимательства</w:t>
      </w:r>
      <w:r>
        <w:rPr>
          <w:sz w:val="28"/>
          <w:szCs w:val="28"/>
        </w:rPr>
        <w:t xml:space="preserve"> и</w:t>
      </w:r>
      <w:r w:rsidRPr="000179DA">
        <w:rPr>
          <w:sz w:val="28"/>
          <w:szCs w:val="28"/>
        </w:rPr>
        <w:t xml:space="preserve"> социально ориентированн</w:t>
      </w:r>
      <w:r>
        <w:rPr>
          <w:sz w:val="28"/>
          <w:szCs w:val="28"/>
        </w:rPr>
        <w:t>ыми</w:t>
      </w:r>
      <w:r w:rsidRPr="000179DA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ими</w:t>
      </w:r>
      <w:r w:rsidRPr="000179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0179DA">
        <w:rPr>
          <w:sz w:val="28"/>
          <w:szCs w:val="28"/>
        </w:rPr>
        <w:t xml:space="preserve"> в отчетном году заключено 8</w:t>
      </w:r>
      <w:r>
        <w:rPr>
          <w:sz w:val="28"/>
          <w:szCs w:val="28"/>
        </w:rPr>
        <w:t>48</w:t>
      </w:r>
      <w:r w:rsidRPr="000179DA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0179DA">
        <w:rPr>
          <w:sz w:val="28"/>
          <w:szCs w:val="28"/>
        </w:rPr>
        <w:t xml:space="preserve"> на общую сумму около 1</w:t>
      </w:r>
      <w:r>
        <w:rPr>
          <w:sz w:val="28"/>
          <w:szCs w:val="28"/>
        </w:rPr>
        <w:t> 172,6</w:t>
      </w:r>
      <w:r w:rsidRPr="000179DA">
        <w:rPr>
          <w:sz w:val="28"/>
          <w:szCs w:val="28"/>
        </w:rPr>
        <w:t xml:space="preserve"> млн. рублей,</w:t>
      </w:r>
      <w:r>
        <w:rPr>
          <w:sz w:val="28"/>
          <w:szCs w:val="28"/>
        </w:rPr>
        <w:t xml:space="preserve"> </w:t>
      </w:r>
      <w:r w:rsidRPr="000179DA">
        <w:rPr>
          <w:sz w:val="28"/>
          <w:szCs w:val="28"/>
        </w:rPr>
        <w:t>что составило 65%</w:t>
      </w:r>
      <w:r>
        <w:rPr>
          <w:sz w:val="28"/>
          <w:szCs w:val="28"/>
        </w:rPr>
        <w:t xml:space="preserve"> </w:t>
      </w:r>
      <w:r w:rsidRPr="000179DA">
        <w:rPr>
          <w:sz w:val="28"/>
          <w:szCs w:val="28"/>
        </w:rPr>
        <w:t>от сово</w:t>
      </w:r>
      <w:r>
        <w:rPr>
          <w:sz w:val="28"/>
          <w:szCs w:val="28"/>
        </w:rPr>
        <w:t xml:space="preserve">купного годового объема закупок </w:t>
      </w:r>
      <w:r w:rsidRPr="005A1DC6">
        <w:rPr>
          <w:sz w:val="28"/>
          <w:szCs w:val="28"/>
        </w:rPr>
        <w:t>(</w:t>
      </w:r>
      <w:r>
        <w:rPr>
          <w:sz w:val="28"/>
          <w:szCs w:val="28"/>
        </w:rPr>
        <w:t>2020</w:t>
      </w:r>
      <w:r w:rsidRPr="005A1DC6">
        <w:rPr>
          <w:sz w:val="28"/>
          <w:szCs w:val="28"/>
        </w:rPr>
        <w:t xml:space="preserve"> год – </w:t>
      </w:r>
      <w:r w:rsidR="001732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822 контракта на общую сумму 1 027,8</w:t>
      </w:r>
      <w:r w:rsidRPr="000933BB">
        <w:rPr>
          <w:sz w:val="28"/>
          <w:szCs w:val="28"/>
        </w:rPr>
        <w:t xml:space="preserve"> млн. рублей</w:t>
      </w:r>
      <w:r w:rsidRPr="005A1DC6">
        <w:rPr>
          <w:sz w:val="28"/>
          <w:szCs w:val="28"/>
        </w:rPr>
        <w:t xml:space="preserve"> или </w:t>
      </w:r>
      <w:r>
        <w:rPr>
          <w:sz w:val="28"/>
          <w:szCs w:val="28"/>
        </w:rPr>
        <w:t>65</w:t>
      </w:r>
      <w:r w:rsidRPr="005A1DC6">
        <w:rPr>
          <w:sz w:val="28"/>
          <w:szCs w:val="28"/>
        </w:rPr>
        <w:t xml:space="preserve">%). </w:t>
      </w:r>
    </w:p>
    <w:p w:rsidR="003E352B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538D" w:rsidRPr="00B45F8F" w:rsidRDefault="00B6538D" w:rsidP="00B6538D">
      <w:pPr>
        <w:ind w:firstLine="709"/>
        <w:jc w:val="both"/>
        <w:rPr>
          <w:sz w:val="28"/>
          <w:szCs w:val="28"/>
        </w:rPr>
      </w:pPr>
      <w:r w:rsidRPr="00B45F8F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й </w:t>
      </w:r>
      <w:r w:rsidRPr="00B45F8F">
        <w:rPr>
          <w:sz w:val="28"/>
          <w:szCs w:val="28"/>
        </w:rPr>
        <w:t xml:space="preserve">14 Закона о контрактной системе в целях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</w:t>
      </w:r>
      <w:r w:rsidR="008968F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B45F8F">
        <w:rPr>
          <w:sz w:val="28"/>
          <w:szCs w:val="28"/>
        </w:rPr>
        <w:t>запрет</w:t>
      </w:r>
      <w:r w:rsidR="008968F1">
        <w:rPr>
          <w:sz w:val="28"/>
          <w:szCs w:val="28"/>
        </w:rPr>
        <w:t>ы</w:t>
      </w:r>
      <w:r w:rsidRPr="00B45F8F">
        <w:rPr>
          <w:sz w:val="28"/>
          <w:szCs w:val="28"/>
        </w:rPr>
        <w:t xml:space="preserve"> на допуск товаров, происходящих из иностранных государств, работ, услуг, соответственно выполняемых, оказываемых иностранными лицами, ограничения допуска указанных товаров, работ, услуг, а также условия допуска для целей осуществления закупок товаров, происходящих из иностранного государства </w:t>
      </w:r>
      <w:r w:rsidRPr="00B45F8F">
        <w:rPr>
          <w:sz w:val="28"/>
          <w:szCs w:val="28"/>
        </w:rPr>
        <w:lastRenderedPageBreak/>
        <w:t xml:space="preserve">или группы иностранных государств, работ, услуг, соответственно выполняемых, оказываемых иностранными лицами, которые </w:t>
      </w:r>
      <w:r>
        <w:rPr>
          <w:sz w:val="28"/>
          <w:szCs w:val="28"/>
        </w:rPr>
        <w:t>З</w:t>
      </w:r>
      <w:r w:rsidRPr="00B45F8F">
        <w:rPr>
          <w:sz w:val="28"/>
          <w:szCs w:val="28"/>
        </w:rPr>
        <w:t>аказчики устанавливают в извещении, документации о закупке.</w:t>
      </w:r>
    </w:p>
    <w:p w:rsidR="008968F1" w:rsidRDefault="008968F1" w:rsidP="00B6538D">
      <w:pPr>
        <w:ind w:firstLine="709"/>
        <w:jc w:val="both"/>
        <w:rPr>
          <w:sz w:val="28"/>
          <w:szCs w:val="28"/>
        </w:rPr>
      </w:pPr>
    </w:p>
    <w:p w:rsidR="00B6538D" w:rsidRPr="00B45F8F" w:rsidRDefault="00B6538D" w:rsidP="00B6538D">
      <w:pPr>
        <w:ind w:firstLine="709"/>
        <w:jc w:val="both"/>
        <w:rPr>
          <w:sz w:val="28"/>
          <w:szCs w:val="28"/>
        </w:rPr>
      </w:pPr>
      <w:r w:rsidRPr="0049463D">
        <w:rPr>
          <w:sz w:val="28"/>
          <w:szCs w:val="28"/>
        </w:rPr>
        <w:t>Так, в отчетном году применялись соответствующие запреты, ограничения или условия допуска в 373 закупка</w:t>
      </w:r>
      <w:r>
        <w:rPr>
          <w:sz w:val="28"/>
          <w:szCs w:val="28"/>
        </w:rPr>
        <w:t>х</w:t>
      </w:r>
      <w:r w:rsidRPr="0049463D">
        <w:rPr>
          <w:sz w:val="28"/>
          <w:szCs w:val="28"/>
        </w:rPr>
        <w:t xml:space="preserve"> товаров, работ, услуг на общую сумму около 413 тыс. руб.</w:t>
      </w:r>
    </w:p>
    <w:p w:rsidR="00B6538D" w:rsidRDefault="00B6538D" w:rsidP="005A59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9A7" w:rsidRPr="005A1DC6" w:rsidRDefault="005A59A7" w:rsidP="005A59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9C7">
        <w:rPr>
          <w:sz w:val="28"/>
          <w:szCs w:val="28"/>
        </w:rPr>
        <w:t xml:space="preserve">По </w:t>
      </w:r>
      <w:r>
        <w:rPr>
          <w:sz w:val="28"/>
          <w:szCs w:val="28"/>
        </w:rPr>
        <w:t>81</w:t>
      </w:r>
      <w:r w:rsidRPr="008E29C7">
        <w:rPr>
          <w:sz w:val="28"/>
          <w:szCs w:val="28"/>
        </w:rPr>
        <w:t xml:space="preserve"> закупк</w:t>
      </w:r>
      <w:r w:rsidR="008968F1">
        <w:rPr>
          <w:sz w:val="28"/>
          <w:szCs w:val="28"/>
        </w:rPr>
        <w:t>е</w:t>
      </w:r>
      <w:r w:rsidRPr="008E29C7">
        <w:rPr>
          <w:sz w:val="28"/>
          <w:szCs w:val="28"/>
        </w:rPr>
        <w:t xml:space="preserve"> предусматривались преимущества организациям               инвалидов, по </w:t>
      </w:r>
      <w:r>
        <w:rPr>
          <w:sz w:val="28"/>
          <w:szCs w:val="28"/>
        </w:rPr>
        <w:t>9</w:t>
      </w:r>
      <w:r w:rsidRPr="008E29C7">
        <w:rPr>
          <w:sz w:val="28"/>
          <w:szCs w:val="28"/>
        </w:rPr>
        <w:t xml:space="preserve"> закупкам - преимущество учреждениям уголовно-исполнительной системы. По этим закупкам преимущества не предоставлялись в связи с отсутствием заявок, поданных такими организациями (учреждениями).</w:t>
      </w:r>
      <w:r w:rsidRPr="005A1DC6">
        <w:rPr>
          <w:sz w:val="28"/>
          <w:szCs w:val="28"/>
        </w:rPr>
        <w:t xml:space="preserve">  </w:t>
      </w:r>
    </w:p>
    <w:p w:rsidR="005A59A7" w:rsidRDefault="005A59A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40CD" w:rsidRDefault="00D940C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55E60" w:rsidRPr="00357BC7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57BC7">
        <w:rPr>
          <w:i/>
          <w:sz w:val="28"/>
          <w:szCs w:val="28"/>
          <w:u w:val="single"/>
        </w:rPr>
        <w:t>4</w:t>
      </w:r>
      <w:r w:rsidR="00655E60" w:rsidRPr="00357BC7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57BC7">
        <w:rPr>
          <w:i/>
          <w:sz w:val="28"/>
          <w:szCs w:val="28"/>
          <w:u w:val="single"/>
        </w:rPr>
        <w:t xml:space="preserve">                  </w:t>
      </w:r>
      <w:r w:rsidR="00655E60" w:rsidRPr="00357BC7">
        <w:rPr>
          <w:i/>
          <w:sz w:val="28"/>
          <w:szCs w:val="28"/>
          <w:u w:val="single"/>
        </w:rPr>
        <w:t xml:space="preserve"> муниципальных нужд города Ни</w:t>
      </w:r>
      <w:r w:rsidRPr="00357BC7">
        <w:rPr>
          <w:i/>
          <w:sz w:val="28"/>
          <w:szCs w:val="28"/>
          <w:u w:val="single"/>
        </w:rPr>
        <w:t>ж</w:t>
      </w:r>
      <w:r w:rsidR="00655E60" w:rsidRPr="00357BC7">
        <w:rPr>
          <w:i/>
          <w:sz w:val="28"/>
          <w:szCs w:val="28"/>
          <w:u w:val="single"/>
        </w:rPr>
        <w:t xml:space="preserve">невартовска </w:t>
      </w:r>
      <w:r w:rsidR="00655E60" w:rsidRPr="00357BC7">
        <w:rPr>
          <w:i/>
          <w:sz w:val="28"/>
          <w:szCs w:val="28"/>
        </w:rPr>
        <w:t>(по данным, представленным Заказчиками)</w:t>
      </w:r>
    </w:p>
    <w:p w:rsidR="005A59A7" w:rsidRDefault="005A59A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0CD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З</w:t>
      </w:r>
      <w:r w:rsidR="004450B0" w:rsidRPr="005A59A7">
        <w:rPr>
          <w:sz w:val="28"/>
          <w:szCs w:val="28"/>
        </w:rPr>
        <w:t xml:space="preserve">а счет бюджетных средств </w:t>
      </w:r>
      <w:r w:rsidR="003255B8" w:rsidRPr="005A59A7">
        <w:rPr>
          <w:sz w:val="28"/>
          <w:szCs w:val="28"/>
        </w:rPr>
        <w:t>заключен</w:t>
      </w:r>
      <w:r w:rsidR="005F6F4A" w:rsidRPr="005A59A7">
        <w:rPr>
          <w:sz w:val="28"/>
          <w:szCs w:val="28"/>
        </w:rPr>
        <w:t>о</w:t>
      </w:r>
      <w:r w:rsidR="009C2A4E" w:rsidRPr="005A59A7">
        <w:rPr>
          <w:sz w:val="28"/>
          <w:szCs w:val="28"/>
        </w:rPr>
        <w:t xml:space="preserve"> </w:t>
      </w:r>
      <w:r w:rsidR="005A59A7" w:rsidRPr="005A59A7">
        <w:rPr>
          <w:sz w:val="28"/>
          <w:szCs w:val="28"/>
        </w:rPr>
        <w:t>9 382</w:t>
      </w:r>
      <w:r w:rsidR="000D6EB5" w:rsidRPr="005A59A7">
        <w:rPr>
          <w:sz w:val="28"/>
          <w:szCs w:val="28"/>
        </w:rPr>
        <w:t xml:space="preserve"> </w:t>
      </w:r>
      <w:r w:rsidR="00655E60" w:rsidRPr="005A59A7">
        <w:rPr>
          <w:sz w:val="28"/>
          <w:szCs w:val="28"/>
        </w:rPr>
        <w:t>контрак</w:t>
      </w:r>
      <w:r w:rsidR="009C2D70" w:rsidRPr="005A59A7">
        <w:rPr>
          <w:sz w:val="28"/>
          <w:szCs w:val="28"/>
        </w:rPr>
        <w:t>т</w:t>
      </w:r>
      <w:r w:rsidR="005A59A7" w:rsidRPr="005A59A7">
        <w:rPr>
          <w:sz w:val="28"/>
          <w:szCs w:val="28"/>
        </w:rPr>
        <w:t>а</w:t>
      </w:r>
      <w:r w:rsidR="00655E60" w:rsidRPr="005A59A7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5A59A7">
        <w:rPr>
          <w:sz w:val="28"/>
          <w:szCs w:val="28"/>
        </w:rPr>
        <w:t xml:space="preserve"> на общую сумму</w:t>
      </w:r>
      <w:r w:rsidR="001C2C2A" w:rsidRPr="005A59A7">
        <w:rPr>
          <w:sz w:val="28"/>
          <w:szCs w:val="28"/>
        </w:rPr>
        <w:t xml:space="preserve"> </w:t>
      </w:r>
      <w:r w:rsidR="005A59A7" w:rsidRPr="005A59A7">
        <w:rPr>
          <w:sz w:val="28"/>
          <w:szCs w:val="28"/>
        </w:rPr>
        <w:t>5 478,6</w:t>
      </w:r>
      <w:r w:rsidR="001C4F12" w:rsidRPr="005A59A7">
        <w:rPr>
          <w:sz w:val="28"/>
          <w:szCs w:val="28"/>
        </w:rPr>
        <w:t xml:space="preserve"> млн</w:t>
      </w:r>
      <w:r w:rsidR="00907705" w:rsidRPr="005A59A7">
        <w:rPr>
          <w:sz w:val="28"/>
          <w:szCs w:val="28"/>
        </w:rPr>
        <w:t>. руб</w:t>
      </w:r>
      <w:r w:rsidR="003255B8" w:rsidRPr="005A59A7">
        <w:rPr>
          <w:sz w:val="28"/>
          <w:szCs w:val="28"/>
        </w:rPr>
        <w:t>.</w:t>
      </w:r>
      <w:r w:rsidRPr="005A59A7">
        <w:rPr>
          <w:sz w:val="28"/>
          <w:szCs w:val="28"/>
        </w:rPr>
        <w:t xml:space="preserve">, </w:t>
      </w:r>
      <w:r w:rsidR="003255B8" w:rsidRPr="005A59A7">
        <w:rPr>
          <w:sz w:val="28"/>
          <w:szCs w:val="28"/>
        </w:rPr>
        <w:t>в</w:t>
      </w:r>
      <w:r w:rsidR="001B0063" w:rsidRPr="005A59A7">
        <w:rPr>
          <w:sz w:val="28"/>
          <w:szCs w:val="28"/>
        </w:rPr>
        <w:t xml:space="preserve"> том числе</w:t>
      </w:r>
      <w:r w:rsidR="004A7F89" w:rsidRPr="005A59A7">
        <w:rPr>
          <w:sz w:val="28"/>
          <w:szCs w:val="28"/>
        </w:rPr>
        <w:t xml:space="preserve"> к</w:t>
      </w:r>
      <w:r w:rsidR="00E8350A" w:rsidRPr="005A59A7">
        <w:rPr>
          <w:sz w:val="28"/>
          <w:szCs w:val="28"/>
        </w:rPr>
        <w:t>онкурентными способами закупок</w:t>
      </w:r>
      <w:r w:rsidR="00F05DA7" w:rsidRPr="005A59A7">
        <w:rPr>
          <w:sz w:val="28"/>
          <w:szCs w:val="28"/>
        </w:rPr>
        <w:t xml:space="preserve"> заключено </w:t>
      </w:r>
      <w:r w:rsidR="005A59A7" w:rsidRPr="005A59A7">
        <w:rPr>
          <w:sz w:val="28"/>
          <w:szCs w:val="28"/>
        </w:rPr>
        <w:t>1 049</w:t>
      </w:r>
      <w:r w:rsidR="00F05DA7" w:rsidRPr="005A59A7">
        <w:rPr>
          <w:sz w:val="28"/>
          <w:szCs w:val="28"/>
        </w:rPr>
        <w:t xml:space="preserve"> контракт</w:t>
      </w:r>
      <w:r w:rsidR="00AD1316" w:rsidRPr="005A59A7">
        <w:rPr>
          <w:sz w:val="28"/>
          <w:szCs w:val="28"/>
        </w:rPr>
        <w:t>ов</w:t>
      </w:r>
      <w:r w:rsidR="0059342D" w:rsidRPr="005A59A7">
        <w:rPr>
          <w:sz w:val="28"/>
          <w:szCs w:val="28"/>
        </w:rPr>
        <w:t xml:space="preserve"> </w:t>
      </w:r>
      <w:r w:rsidR="00F05DA7" w:rsidRPr="005A59A7">
        <w:rPr>
          <w:sz w:val="28"/>
          <w:szCs w:val="28"/>
        </w:rPr>
        <w:t xml:space="preserve">на сумму </w:t>
      </w:r>
      <w:r w:rsidR="005A59A7" w:rsidRPr="005A59A7">
        <w:rPr>
          <w:sz w:val="28"/>
          <w:szCs w:val="28"/>
        </w:rPr>
        <w:t>4 367,0</w:t>
      </w:r>
      <w:r w:rsidR="00F05DA7" w:rsidRPr="005A59A7">
        <w:rPr>
          <w:sz w:val="28"/>
          <w:szCs w:val="28"/>
        </w:rPr>
        <w:t xml:space="preserve"> млн. руб.</w:t>
      </w:r>
    </w:p>
    <w:p w:rsidR="00F51F9D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968F1" w:rsidRDefault="008968F1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8968F1">
        <w:trPr>
          <w:trHeight w:val="339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4014C3" w:rsidP="005A5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202</w:t>
            </w:r>
            <w:r w:rsidR="007438E6" w:rsidRPr="00357BC7">
              <w:t>1</w:t>
            </w:r>
            <w:r w:rsidRPr="00357BC7">
              <w:t xml:space="preserve"> год</w:t>
            </w:r>
          </w:p>
        </w:tc>
      </w:tr>
      <w:tr w:rsidR="00357BC7" w:rsidRPr="00357BC7" w:rsidTr="00D87B41">
        <w:trPr>
          <w:trHeight w:val="607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A59A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A59A7" w:rsidP="009C1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889,8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A59A7" w:rsidP="005A59A7">
            <w:pPr>
              <w:widowControl w:val="0"/>
              <w:jc w:val="center"/>
            </w:pPr>
            <w:r>
              <w:t>703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A59A7" w:rsidP="00D44D62">
            <w:pPr>
              <w:widowControl w:val="0"/>
              <w:jc w:val="center"/>
            </w:pPr>
            <w:r>
              <w:t>3 436,4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A59A7" w:rsidP="009C100D">
            <w:pPr>
              <w:widowControl w:val="0"/>
              <w:jc w:val="center"/>
            </w:pPr>
            <w:r>
              <w:t>258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A59A7" w:rsidP="003A00F0">
            <w:pPr>
              <w:widowControl w:val="0"/>
              <w:jc w:val="center"/>
            </w:pPr>
            <w:r>
              <w:t>40,8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A59A7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8 333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A59A7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1 111,6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5A59A7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9 382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A59A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5 478,6</w:t>
            </w:r>
          </w:p>
        </w:tc>
      </w:tr>
    </w:tbl>
    <w:p w:rsidR="00290A16" w:rsidRPr="00357BC7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D43C62" w:rsidRPr="00357BC7">
        <w:rPr>
          <w:sz w:val="28"/>
          <w:szCs w:val="28"/>
        </w:rPr>
        <w:t>202</w:t>
      </w:r>
      <w:r w:rsidR="002A178E" w:rsidRPr="00357BC7">
        <w:rPr>
          <w:sz w:val="28"/>
          <w:szCs w:val="28"/>
        </w:rPr>
        <w:t>1</w:t>
      </w:r>
      <w:r w:rsidR="00D43C62" w:rsidRPr="00357BC7">
        <w:rPr>
          <w:sz w:val="28"/>
          <w:szCs w:val="28"/>
        </w:rPr>
        <w:t xml:space="preserve"> год</w:t>
      </w:r>
      <w:r w:rsidRPr="00357BC7">
        <w:rPr>
          <w:sz w:val="28"/>
          <w:szCs w:val="28"/>
        </w:rPr>
        <w:t xml:space="preserve"> составила </w:t>
      </w:r>
      <w:r w:rsidR="005A59A7">
        <w:rPr>
          <w:sz w:val="28"/>
          <w:szCs w:val="28"/>
        </w:rPr>
        <w:t>434,5</w:t>
      </w:r>
      <w:r w:rsidRPr="00357BC7">
        <w:rPr>
          <w:sz w:val="28"/>
          <w:szCs w:val="28"/>
        </w:rPr>
        <w:t xml:space="preserve"> млн. рублей или </w:t>
      </w:r>
      <w:r w:rsidR="005A59A7">
        <w:rPr>
          <w:sz w:val="28"/>
          <w:szCs w:val="28"/>
        </w:rPr>
        <w:t>9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Pr="00357BC7">
        <w:rPr>
          <w:i/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D87B41">
        <w:trPr>
          <w:trHeight w:val="827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5A59A7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5A59A7" w:rsidRPr="00357BC7" w:rsidRDefault="005A59A7" w:rsidP="005A59A7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1 082,0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59A7" w:rsidRPr="00357BC7" w:rsidRDefault="005A59A7" w:rsidP="005A5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889,8</w:t>
            </w:r>
          </w:p>
        </w:tc>
        <w:tc>
          <w:tcPr>
            <w:tcW w:w="2189" w:type="dxa"/>
            <w:vAlign w:val="center"/>
          </w:tcPr>
          <w:p w:rsidR="005A59A7" w:rsidRPr="00357BC7" w:rsidRDefault="005A59A7" w:rsidP="005A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192,2</w:t>
            </w:r>
          </w:p>
        </w:tc>
      </w:tr>
      <w:tr w:rsidR="005A59A7" w:rsidRPr="00357BC7" w:rsidTr="00D87B41">
        <w:trPr>
          <w:trHeight w:val="421"/>
          <w:jc w:val="center"/>
        </w:trPr>
        <w:tc>
          <w:tcPr>
            <w:tcW w:w="3220" w:type="dxa"/>
            <w:vAlign w:val="center"/>
          </w:tcPr>
          <w:p w:rsidR="005A59A7" w:rsidRPr="00357BC7" w:rsidRDefault="005A59A7" w:rsidP="005A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3 670,0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3 436,4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233,6</w:t>
            </w:r>
          </w:p>
        </w:tc>
      </w:tr>
      <w:tr w:rsidR="005A59A7" w:rsidRPr="00357BC7" w:rsidTr="00D87B41">
        <w:trPr>
          <w:trHeight w:val="415"/>
          <w:jc w:val="center"/>
        </w:trPr>
        <w:tc>
          <w:tcPr>
            <w:tcW w:w="3220" w:type="dxa"/>
            <w:vAlign w:val="center"/>
          </w:tcPr>
          <w:p w:rsidR="005A59A7" w:rsidRPr="00357BC7" w:rsidRDefault="005A59A7" w:rsidP="005A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49,5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40,8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A59A7" w:rsidRPr="00357BC7" w:rsidRDefault="005A59A7" w:rsidP="005A59A7">
            <w:pPr>
              <w:widowControl w:val="0"/>
              <w:jc w:val="center"/>
            </w:pPr>
            <w:r>
              <w:t>8,7</w:t>
            </w:r>
          </w:p>
        </w:tc>
      </w:tr>
      <w:tr w:rsidR="006872C7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6872C7" w:rsidRPr="00357BC7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872C7" w:rsidRPr="00357BC7" w:rsidRDefault="005A59A7" w:rsidP="006872C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4 801,5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872C7" w:rsidRPr="00357BC7" w:rsidRDefault="005A59A7" w:rsidP="004014C3">
            <w:pPr>
              <w:widowControl w:val="0"/>
              <w:jc w:val="center"/>
            </w:pPr>
            <w:r>
              <w:t>4 367,0</w:t>
            </w:r>
          </w:p>
        </w:tc>
        <w:tc>
          <w:tcPr>
            <w:tcW w:w="2189" w:type="dxa"/>
            <w:vAlign w:val="center"/>
          </w:tcPr>
          <w:p w:rsidR="006872C7" w:rsidRPr="00357BC7" w:rsidRDefault="005A59A7" w:rsidP="002A178E">
            <w:pPr>
              <w:widowControl w:val="0"/>
              <w:jc w:val="center"/>
            </w:pPr>
            <w:r>
              <w:t>434,5</w:t>
            </w:r>
          </w:p>
        </w:tc>
      </w:tr>
    </w:tbl>
    <w:p w:rsidR="00655E60" w:rsidRPr="00357BC7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57BC7">
        <w:rPr>
          <w:i/>
          <w:sz w:val="28"/>
          <w:szCs w:val="28"/>
          <w:u w:val="single"/>
        </w:rPr>
        <w:lastRenderedPageBreak/>
        <w:t xml:space="preserve"> </w:t>
      </w:r>
      <w:r w:rsidR="00655E60" w:rsidRPr="00357BC7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57BC7">
        <w:rPr>
          <w:i/>
          <w:sz w:val="28"/>
          <w:szCs w:val="28"/>
          <w:u w:val="single"/>
        </w:rPr>
        <w:t xml:space="preserve">              </w:t>
      </w:r>
      <w:r w:rsidR="00655E60" w:rsidRPr="00357BC7">
        <w:rPr>
          <w:i/>
          <w:sz w:val="28"/>
          <w:szCs w:val="28"/>
          <w:u w:val="single"/>
        </w:rPr>
        <w:t xml:space="preserve"> (бездействия) </w:t>
      </w:r>
      <w:r w:rsidR="00913210" w:rsidRPr="00357BC7">
        <w:rPr>
          <w:i/>
          <w:sz w:val="28"/>
          <w:szCs w:val="28"/>
          <w:u w:val="single"/>
        </w:rPr>
        <w:t>З</w:t>
      </w:r>
      <w:r w:rsidR="00655E60" w:rsidRPr="00357BC7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57BC7">
        <w:rPr>
          <w:i/>
          <w:sz w:val="28"/>
          <w:szCs w:val="28"/>
          <w:u w:val="single"/>
        </w:rPr>
        <w:t xml:space="preserve">            </w:t>
      </w:r>
      <w:r w:rsidR="00655E60" w:rsidRPr="00357BC7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57BC7">
        <w:rPr>
          <w:i/>
          <w:sz w:val="28"/>
          <w:szCs w:val="28"/>
          <w:u w:val="single"/>
        </w:rPr>
        <w:t>З</w:t>
      </w:r>
      <w:r w:rsidR="00655E60" w:rsidRPr="00357BC7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>
        <w:rPr>
          <w:i/>
          <w:sz w:val="28"/>
          <w:szCs w:val="28"/>
          <w:u w:val="single"/>
        </w:rPr>
        <w:t xml:space="preserve">                    </w:t>
      </w:r>
      <w:r w:rsidR="00FE6081" w:rsidRPr="00357BC7">
        <w:rPr>
          <w:i/>
          <w:sz w:val="28"/>
          <w:szCs w:val="28"/>
          <w:u w:val="single"/>
        </w:rPr>
        <w:t xml:space="preserve"> </w:t>
      </w:r>
      <w:r w:rsidR="00655E60" w:rsidRPr="00357BC7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237D09" w:rsidRDefault="00237D09" w:rsidP="00B6673D">
      <w:pPr>
        <w:widowControl w:val="0"/>
        <w:ind w:firstLine="709"/>
        <w:jc w:val="both"/>
        <w:rPr>
          <w:sz w:val="28"/>
          <w:szCs w:val="28"/>
        </w:rPr>
      </w:pPr>
    </w:p>
    <w:p w:rsidR="005A59A7" w:rsidRDefault="005A59A7" w:rsidP="005A59A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BC7">
        <w:rPr>
          <w:sz w:val="28"/>
          <w:szCs w:val="28"/>
        </w:rPr>
        <w:t xml:space="preserve">Всего с начала года в </w:t>
      </w:r>
      <w:r w:rsidRPr="00357BC7">
        <w:rPr>
          <w:spacing w:val="-1"/>
          <w:sz w:val="28"/>
          <w:szCs w:val="28"/>
        </w:rPr>
        <w:t xml:space="preserve">Управление </w:t>
      </w:r>
      <w:r w:rsidRPr="00357BC7">
        <w:rPr>
          <w:sz w:val="28"/>
          <w:szCs w:val="28"/>
        </w:rPr>
        <w:t>Федеральной антимонопольной службы по Ханты–Мансийскому автономному округу – Югре был</w:t>
      </w:r>
      <w:r>
        <w:rPr>
          <w:sz w:val="28"/>
          <w:szCs w:val="28"/>
        </w:rPr>
        <w:t>о</w:t>
      </w:r>
      <w:r w:rsidRPr="00357BC7">
        <w:rPr>
          <w:sz w:val="28"/>
          <w:szCs w:val="28"/>
        </w:rPr>
        <w:t xml:space="preserve"> подан</w:t>
      </w:r>
      <w:r>
        <w:rPr>
          <w:sz w:val="28"/>
          <w:szCs w:val="28"/>
        </w:rPr>
        <w:t>о</w:t>
      </w:r>
      <w:r w:rsidRPr="00357BC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357BC7">
        <w:rPr>
          <w:sz w:val="28"/>
          <w:szCs w:val="28"/>
        </w:rPr>
        <w:t xml:space="preserve"> жалоб</w:t>
      </w:r>
      <w:r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  </w:t>
      </w:r>
      <w:r w:rsidRPr="00357BC7">
        <w:rPr>
          <w:sz w:val="28"/>
          <w:szCs w:val="28"/>
        </w:rPr>
        <w:t>на действия Заказчиков, аукционных, конкурсных и котировочных комиссий, уполномоченного органа</w:t>
      </w:r>
      <w:r w:rsidRPr="00357BC7">
        <w:rPr>
          <w:rFonts w:eastAsia="Calibri"/>
          <w:sz w:val="28"/>
          <w:szCs w:val="28"/>
          <w:lang w:eastAsia="en-US"/>
        </w:rPr>
        <w:t xml:space="preserve">, из них по </w:t>
      </w:r>
      <w:r>
        <w:rPr>
          <w:rFonts w:eastAsia="Calibri"/>
          <w:sz w:val="28"/>
          <w:szCs w:val="28"/>
          <w:lang w:eastAsia="en-US"/>
        </w:rPr>
        <w:t>7</w:t>
      </w:r>
      <w:r w:rsidRPr="00357BC7">
        <w:rPr>
          <w:rFonts w:eastAsia="Calibri"/>
          <w:sz w:val="28"/>
          <w:szCs w:val="28"/>
          <w:lang w:eastAsia="en-US"/>
        </w:rPr>
        <w:t xml:space="preserve"> жалобам выданы предписания контролирующего органа об устранении нарушений, согласно котор</w:t>
      </w:r>
      <w:r>
        <w:rPr>
          <w:rFonts w:eastAsia="Calibri"/>
          <w:sz w:val="28"/>
          <w:szCs w:val="28"/>
          <w:lang w:eastAsia="en-US"/>
        </w:rPr>
        <w:t>ы</w:t>
      </w:r>
      <w:r w:rsidRPr="00357BC7">
        <w:rPr>
          <w:rFonts w:eastAsia="Calibri"/>
          <w:sz w:val="28"/>
          <w:szCs w:val="28"/>
          <w:lang w:eastAsia="en-US"/>
        </w:rPr>
        <w:t xml:space="preserve">м внесены изменения в документации о закупках, остальные жалобы были признаны необоснованными. </w:t>
      </w:r>
    </w:p>
    <w:p w:rsidR="008968F1" w:rsidRDefault="008968F1" w:rsidP="008769C7">
      <w:pPr>
        <w:pStyle w:val="a3"/>
        <w:widowControl w:val="0"/>
        <w:ind w:firstLine="709"/>
        <w:rPr>
          <w:szCs w:val="28"/>
        </w:rPr>
      </w:pPr>
    </w:p>
    <w:p w:rsidR="005223D4" w:rsidRPr="005A1DC6" w:rsidRDefault="005223D4" w:rsidP="005223D4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 xml:space="preserve">В отчетном периоде </w:t>
      </w:r>
      <w:r w:rsidRPr="005A1DC6">
        <w:rPr>
          <w:szCs w:val="28"/>
        </w:rPr>
        <w:t>Заказчик</w:t>
      </w:r>
      <w:r>
        <w:rPr>
          <w:szCs w:val="28"/>
        </w:rPr>
        <w:t>ами</w:t>
      </w:r>
      <w:r w:rsidRPr="005A1DC6">
        <w:rPr>
          <w:szCs w:val="28"/>
        </w:rPr>
        <w:t xml:space="preserve"> был</w:t>
      </w:r>
      <w:r>
        <w:rPr>
          <w:szCs w:val="28"/>
        </w:rPr>
        <w:t>и</w:t>
      </w:r>
      <w:r w:rsidRPr="005A1DC6">
        <w:rPr>
          <w:szCs w:val="28"/>
        </w:rPr>
        <w:t xml:space="preserve"> подан</w:t>
      </w:r>
      <w:r>
        <w:rPr>
          <w:szCs w:val="28"/>
        </w:rPr>
        <w:t>ы</w:t>
      </w:r>
      <w:r w:rsidRPr="005A1DC6">
        <w:rPr>
          <w:szCs w:val="28"/>
        </w:rPr>
        <w:t xml:space="preserve"> обращени</w:t>
      </w:r>
      <w:r>
        <w:rPr>
          <w:szCs w:val="28"/>
        </w:rPr>
        <w:t>я</w:t>
      </w:r>
      <w:r w:rsidRPr="005A1DC6">
        <w:rPr>
          <w:szCs w:val="28"/>
        </w:rPr>
        <w:t xml:space="preserve"> в Управление Федеральной антимонопольной службы по ХМАО-Югре для внесения сведений в реестр недобросовестных поставщиков (далее – РНП)</w:t>
      </w:r>
      <w:r>
        <w:rPr>
          <w:szCs w:val="28"/>
        </w:rPr>
        <w:t xml:space="preserve"> в связи с уклонением победителя закупки от заключения контракта и односторонним отказом Заказчиков от исполнения контрактов (существенные нарушения условий контр</w:t>
      </w:r>
      <w:r w:rsidR="00225D27">
        <w:rPr>
          <w:szCs w:val="28"/>
        </w:rPr>
        <w:t>актов Исполнителем (Поставщиком, Подрядчиком)</w:t>
      </w:r>
      <w:r>
        <w:rPr>
          <w:szCs w:val="28"/>
        </w:rPr>
        <w:t>)</w:t>
      </w:r>
      <w:r w:rsidRPr="00395D2E">
        <w:rPr>
          <w:szCs w:val="28"/>
        </w:rPr>
        <w:t>,</w:t>
      </w:r>
      <w:r>
        <w:rPr>
          <w:szCs w:val="28"/>
        </w:rPr>
        <w:t xml:space="preserve"> </w:t>
      </w:r>
      <w:r w:rsidRPr="005A1DC6">
        <w:rPr>
          <w:szCs w:val="28"/>
        </w:rPr>
        <w:t xml:space="preserve">вследствие чего в РНП внесены сведения в отношении </w:t>
      </w:r>
      <w:r w:rsidR="001732F8">
        <w:rPr>
          <w:szCs w:val="28"/>
        </w:rPr>
        <w:t>индивидуальных предпринимателей</w:t>
      </w:r>
      <w:r w:rsidRPr="0090293E">
        <w:rPr>
          <w:szCs w:val="28"/>
        </w:rPr>
        <w:t xml:space="preserve"> Мухаммадсодик</w:t>
      </w:r>
      <w:r>
        <w:rPr>
          <w:szCs w:val="28"/>
        </w:rPr>
        <w:t>а</w:t>
      </w:r>
      <w:r w:rsidRPr="0090293E">
        <w:rPr>
          <w:szCs w:val="28"/>
        </w:rPr>
        <w:t xml:space="preserve"> </w:t>
      </w:r>
      <w:r w:rsidR="001732F8">
        <w:rPr>
          <w:szCs w:val="28"/>
        </w:rPr>
        <w:t xml:space="preserve">А.А., </w:t>
      </w:r>
      <w:r w:rsidR="00225D27">
        <w:rPr>
          <w:szCs w:val="28"/>
        </w:rPr>
        <w:t>Бондарева А.Ю., Максименко Н.П., ООО «Нижневартовскцентрстрой».</w:t>
      </w:r>
    </w:p>
    <w:p w:rsidR="008769C7" w:rsidRPr="00357BC7" w:rsidRDefault="008769C7" w:rsidP="005A59A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56E5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156E5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для муниципаль</w:t>
      </w:r>
      <w:r w:rsidR="0000329E" w:rsidRPr="00357BC7">
        <w:rPr>
          <w:b/>
          <w:sz w:val="28"/>
          <w:szCs w:val="28"/>
        </w:rPr>
        <w:t xml:space="preserve">ных нужд города Нижневартовска </w:t>
      </w:r>
      <w:r w:rsidRPr="00357BC7">
        <w:rPr>
          <w:b/>
          <w:sz w:val="28"/>
          <w:szCs w:val="28"/>
        </w:rPr>
        <w:t xml:space="preserve">за </w:t>
      </w:r>
      <w:r w:rsidR="00185AF1" w:rsidRPr="00357BC7">
        <w:rPr>
          <w:b/>
          <w:sz w:val="28"/>
          <w:szCs w:val="28"/>
        </w:rPr>
        <w:t>202</w:t>
      </w:r>
      <w:r w:rsidR="002A178E" w:rsidRPr="00357BC7">
        <w:rPr>
          <w:b/>
          <w:sz w:val="28"/>
          <w:szCs w:val="28"/>
        </w:rPr>
        <w:t>1</w:t>
      </w:r>
      <w:r w:rsidR="00E76CC4" w:rsidRPr="00357BC7">
        <w:rPr>
          <w:b/>
          <w:sz w:val="28"/>
          <w:szCs w:val="28"/>
        </w:rPr>
        <w:t xml:space="preserve"> год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За </w:t>
      </w:r>
      <w:r w:rsidR="002A178E" w:rsidRPr="005A59A7">
        <w:rPr>
          <w:sz w:val="28"/>
          <w:szCs w:val="28"/>
        </w:rPr>
        <w:t>2021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 xml:space="preserve">год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Pr="005A59A7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5A59A7">
        <w:rPr>
          <w:sz w:val="28"/>
          <w:szCs w:val="28"/>
        </w:rPr>
        <w:t xml:space="preserve">               </w:t>
      </w:r>
      <w:r w:rsidRPr="005A59A7">
        <w:rPr>
          <w:sz w:val="28"/>
          <w:szCs w:val="28"/>
        </w:rPr>
        <w:t>муниципальных нужд города Нижневартовска</w:t>
      </w:r>
      <w:r w:rsidR="00707AB1" w:rsidRPr="005A59A7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5A59A7" w:rsidRPr="005A59A7">
        <w:rPr>
          <w:sz w:val="28"/>
          <w:szCs w:val="28"/>
        </w:rPr>
        <w:t>100</w:t>
      </w:r>
      <w:r w:rsidR="00707AB1" w:rsidRPr="005A59A7">
        <w:rPr>
          <w:sz w:val="28"/>
          <w:szCs w:val="28"/>
        </w:rPr>
        <w:t>%</w:t>
      </w:r>
      <w:r w:rsidR="003A00F0" w:rsidRPr="005A59A7">
        <w:rPr>
          <w:sz w:val="28"/>
          <w:szCs w:val="28"/>
        </w:rPr>
        <w:t>;</w:t>
      </w: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5A59A7" w:rsidRPr="005A59A7">
        <w:rPr>
          <w:sz w:val="28"/>
          <w:szCs w:val="28"/>
        </w:rPr>
        <w:t>434,5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</w:p>
    <w:p w:rsidR="00926C12" w:rsidRPr="005A59A7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A33830" w:rsidRPr="005A59A7">
        <w:rPr>
          <w:sz w:val="28"/>
          <w:szCs w:val="28"/>
        </w:rPr>
        <w:t xml:space="preserve">1 172,6 </w:t>
      </w:r>
      <w:r w:rsidRPr="005A59A7">
        <w:rPr>
          <w:sz w:val="28"/>
          <w:szCs w:val="28"/>
        </w:rPr>
        <w:t xml:space="preserve">млн. руб. или </w:t>
      </w:r>
      <w:r w:rsidR="00A33830" w:rsidRPr="005A59A7">
        <w:rPr>
          <w:sz w:val="28"/>
          <w:szCs w:val="28"/>
        </w:rPr>
        <w:t>65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RPr="005A59A7" w:rsidSect="00D51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05E6"/>
    <w:rsid w:val="00045359"/>
    <w:rsid w:val="00045A15"/>
    <w:rsid w:val="0005057F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6490E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50416"/>
    <w:rsid w:val="00650D8C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5EFB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8D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3EE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7491"/>
    <w:rsid w:val="00A37539"/>
    <w:rsid w:val="00A3795D"/>
    <w:rsid w:val="00A42A43"/>
    <w:rsid w:val="00A437B9"/>
    <w:rsid w:val="00A4605C"/>
    <w:rsid w:val="00A4668E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8C0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538D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621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26F4"/>
    <w:rsid w:val="00EB2893"/>
    <w:rsid w:val="00EB541F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38FC"/>
    <w:rsid w:val="00F74A2D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agPost/10-03-2021/1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 направления расходования бюджетных средств</a:t>
            </a:r>
          </a:p>
        </c:rich>
      </c:tx>
      <c:layout>
        <c:manualLayout>
          <c:xMode val="edge"/>
          <c:yMode val="edge"/>
          <c:x val="0.1515246957766643"/>
          <c:y val="1.84495649700229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509015918464737"/>
          <c:y val="1.500303259638558E-3"/>
          <c:w val="0.56364660695439972"/>
          <c:h val="0.773232254156815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A56-45EC-8AD2-138AF62CE3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7A56-45EC-8AD2-138AF62CE3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A56-45EC-8AD2-138AF62CE3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7A56-45EC-8AD2-138AF62CE3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A56-45EC-8AD2-138AF62CE3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6-7A56-45EC-8AD2-138AF62CE3B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CAE8-4C23-A178-F0ACB5F3618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CAE8-4C23-A178-F0ACB5F3618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C304-4947-8B1B-2A0F309B441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C304-4947-8B1B-2A0F309B4414}"/>
              </c:ext>
            </c:extLst>
          </c:dPt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AE8-4C23-A178-F0ACB5F36186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AE8-4C23-A178-F0ACB5F361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Строительство и ремонт объектов - 1158,1 млн. руб. (31%)</c:v>
                </c:pt>
                <c:pt idx="1">
                  <c:v>Поставка продуктов питания и организация питания образовательных учреждений - 1 046,2 млн. руб. (22%)</c:v>
                </c:pt>
                <c:pt idx="2">
                  <c:v>Транспортные услуги - 522,4 млн. руб. (11%)</c:v>
                </c:pt>
                <c:pt idx="3">
                  <c:v>Приобретение квартир в муниципальную собственность - 434,1 млн. руб. (9%)</c:v>
                </c:pt>
                <c:pt idx="4">
                  <c:v>Коммунальное содержание объектов - 316,3 млн. руб. (7%)</c:v>
                </c:pt>
                <c:pt idx="5">
                  <c:v>Поставка бумаги, мебели, компьютерной техники - 131,5 (3%)</c:v>
                </c:pt>
                <c:pt idx="6">
                  <c:v>Услуги в области информатизации и связи - 122,4 млн. руб. (3%)</c:v>
                </c:pt>
                <c:pt idx="7">
                  <c:v>Услуги, связанные с научной, инженерно-технической и профессиональной деятельностью - 131 млн. руб. (2%)</c:v>
                </c:pt>
                <c:pt idx="8">
                  <c:v>Оказание финансовых и страховых услуг - 110,0 (2%)</c:v>
                </c:pt>
                <c:pt idx="9">
                  <c:v>Прочие закупки - 502,0 млн. руб. (10%) 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1485576.5999999999</c:v>
                </c:pt>
                <c:pt idx="1">
                  <c:v>1046175.8</c:v>
                </c:pt>
                <c:pt idx="2">
                  <c:v>522430.39999999997</c:v>
                </c:pt>
                <c:pt idx="3">
                  <c:v>434149.8</c:v>
                </c:pt>
                <c:pt idx="4">
                  <c:v>316313.90000000002</c:v>
                </c:pt>
                <c:pt idx="5">
                  <c:v>131469.31</c:v>
                </c:pt>
                <c:pt idx="6">
                  <c:v>122381.6</c:v>
                </c:pt>
                <c:pt idx="7">
                  <c:v>130999.8</c:v>
                </c:pt>
                <c:pt idx="8">
                  <c:v>110006.09999999999</c:v>
                </c:pt>
                <c:pt idx="9">
                  <c:v>502001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6-45EC-8AD2-138AF62CE3B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9494211205662079E-2"/>
          <c:y val="0.58427590316719091"/>
          <c:w val="0.88912303002483439"/>
          <c:h val="0.4157240968328090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6269-2ACE-4D81-8469-85041C67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2022-01-27T10:09:00Z</cp:lastPrinted>
  <dcterms:created xsi:type="dcterms:W3CDTF">2022-02-03T11:40:00Z</dcterms:created>
  <dcterms:modified xsi:type="dcterms:W3CDTF">2022-02-03T11:40:00Z</dcterms:modified>
</cp:coreProperties>
</file>