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Приложение 4 к протоколу</w:t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Совета по вопросам развития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инвестиционной деятельности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0" w:right="0" w:firstLine="5669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в городе Нижневартовске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  <w14:ligatures w14:val="none"/>
        </w:rPr>
      </w:r>
      <w:r/>
    </w:p>
    <w:p>
      <w:pPr>
        <w:ind w:left="5669" w:right="-233" w:firstLine="0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от 12.09.2024 №44</w:t>
      </w:r>
      <w:r/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реализации механизма комплексного развития территории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numPr>
          <w:ilvl w:val="0"/>
          <w:numId w:val="0"/>
        </w:numPr>
        <w:contextualSpacing w:val="0"/>
        <w:ind w:left="0" w:right="0" w:firstLine="0"/>
        <w:jc w:val="both"/>
        <w:spacing w:before="0" w:after="0" w:line="283" w:lineRule="atLeast"/>
        <w:widowControl/>
        <w:tabs>
          <w:tab w:val="left" w:pos="367" w:leader="none"/>
          <w:tab w:val="left" w:pos="709" w:leader="none"/>
        </w:tabs>
        <w:rPr>
          <w:rFonts w:ascii="Times New Roman" w:hAnsi="Times New Roman" w:cs="Times New Roman"/>
          <w:bCs w:val="0"/>
          <w:i w:val="0"/>
          <w:color w:val="auto"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Cs w:val="0"/>
          <w:i w:val="0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Cs w:val="0"/>
          <w:i w:val="0"/>
          <w:color w:val="auto"/>
          <w:sz w:val="28"/>
          <w:szCs w:val="28"/>
        </w:rPr>
      </w:r>
    </w:p>
    <w:p>
      <w:pPr>
        <w:numPr>
          <w:ilvl w:val="0"/>
          <w:numId w:val="0"/>
        </w:numPr>
        <w:contextualSpacing w:val="0"/>
        <w:ind w:left="0" w:right="0" w:firstLine="0"/>
        <w:jc w:val="both"/>
        <w:spacing w:before="0" w:after="0" w:line="283" w:lineRule="atLeast"/>
        <w:widowControl/>
        <w:tabs>
          <w:tab w:val="left" w:pos="367" w:leader="none"/>
          <w:tab w:val="left" w:pos="709" w:leader="none"/>
        </w:tabs>
        <w:rPr>
          <w:rFonts w:ascii="Times New Roman" w:hAnsi="Times New Roman" w:cs="Times New Roman"/>
          <w:bCs w:val="0"/>
          <w:i w:val="0"/>
          <w:color w:val="auto"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ab/>
        <w:tab/>
      </w:r>
      <w:r>
        <w:rPr>
          <w:rFonts w:ascii="Times New Roman" w:hAnsi="Times New Roman" w:cs="Times New Roman"/>
          <w:bCs w:val="0"/>
          <w:i w:val="0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Пространственное развитие муниципального образования городской округ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Нижневартовск рассматривается в контексте "Умный город", и это стало основой "Цифровой информационной модели управления развитием территории",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активно используе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тся органами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учреждениями,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жителями и предпринимателями города.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rFonts w:ascii="Times New Roman" w:hAnsi="Times New Roman" w:cs="Times New Roman"/>
          <w:bCs w:val="0"/>
          <w:i w:val="0"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первую очередь, пересмотрен и утвержден весь необходимый комплекс градостроительной документации, в основном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части перспектив жилищного строительства.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Созданы многие ресурсы и инструменты на базе ЦИМ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обновлена муниципальная геоинформационная система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Инвесторы, желающие реализовать на территории Нижневартовска свои проекты, могут использовать и используют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ресурсы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Всего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рамках развития жилищного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сегодняшний день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17 территорий под комплексное развитие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 (далее – КРТ)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общей площадью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га с возможностью строительства до 1100 тыс. кв. м. жилой площади. Также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проанализирован существующий жилой фонд, количество аварийного фонда, износ нежилого фонда. На основе этих данных определены территории перспективного комплексного развития по разным типам (свободные и застроенные территории).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contextualSpacing w:val="0"/>
        <w:ind w:left="0"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Все новые тер</w:t>
      </w:r>
      <w:r>
        <w:rPr>
          <w:rFonts w:ascii="Times New Roman" w:hAnsi="Times New Roman" w:eastAsia="Times New Roman"/>
          <w:sz w:val="28"/>
          <w:szCs w:val="28"/>
        </w:rPr>
        <w:t xml:space="preserve">ритории, планируемые под КРТ, прорабатываются с учетом основных принципов "Югорского стандарта", а именно - с детальной проработкой общественных пространств, зон отдыха, размещения современных школ, детских садов, объектов спорта и медицины. Учитывается </w:t>
      </w:r>
      <w:r>
        <w:rPr>
          <w:rFonts w:ascii="Times New Roman" w:hAnsi="Times New Roman" w:eastAsia="Times New Roman"/>
          <w:sz w:val="28"/>
          <w:szCs w:val="28"/>
        </w:rPr>
        <w:t xml:space="preserve">принцип функционального разнообразия, дворы без машин,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развитие инфраструктуры пешеходного и велосипедного движения,</w:t>
      </w:r>
      <w:r>
        <w:rPr>
          <w:rFonts w:ascii="Times New Roman" w:hAnsi="Times New Roman" w:eastAsia="Times New Roman"/>
          <w:sz w:val="28"/>
          <w:szCs w:val="28"/>
        </w:rPr>
        <w:t xml:space="preserve"> которые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обеспечат высокий уровень безопасности.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На сегодняшний день в Нижневартовске, в рамках действующего договора о КРТ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от 18 декабря 2023 года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ведутся работы по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застройке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квартал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К2.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  <w:br/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На территории квартала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запланировано к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вводу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во втором квартале 2026 года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порядка 14,5 тыс. кв.м. жилья.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отношении данного квартала работает новый для нашего города застройщик –  ДСК-1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г.Сургут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Далее, 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з первоочередных, рассматр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иваемых к старту реализации                       на 2024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-2025 годы -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кварталы Б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33,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микрорайон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1П и 9П старой части города.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Территория квартала Б площадью 5,4 га располагается в центре города.                 По генеральному плану предусмотрена смешанная и общественно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-деловая функциональная зона,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зонирование представлено зоной застройки многоэтажными жилыми домами (ЖЗ 101) и зоной озелененных территорий общего пользования (РЗ 601). </w:t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расположены два многоквартирных дома по ул. Таежная, д.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д. 31а, признанные аварийными и подлежащими сносу.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Переселение жителей и снос объектов предусмотрены за счет средств застройщика.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Обязательным условием в границах КРТ является создание рекреационной зоны (парк, сквер, бульвар).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выдачи разрешения на строительство без механизма КРТ отсутствует, т.к. территория имее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 не расселенный аварийный жилой фонд </w:t>
        <w:br/>
        <w:t xml:space="preserve">и территорию, предназначенную под благоустройство (продолжение бульвара Рябиновый). Выполнение этих работ в рамках отдельных мероприятий приведет к увеличению сроков реализации и повышению нагрузки на городской бюджет.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комплексном развитии данной территории принято в марте текущего года.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Основные обязательства застройщика: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строительство продолжения Рябинового бульвара;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переселение граждан из домов, признанных аварийными;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снос объектов капитального строительства.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3" w:lineRule="atLeast"/>
        <w:rPr>
          <w:sz w:val="28"/>
          <w:szCs w:val="28"/>
        </w:rPr>
        <w:suppressLineNumbers w:val="0"/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К возведению запланировано не более 42 тыс. кв. метров жилой площади.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3" w:lineRule="atLeast"/>
        <w:rPr>
          <w:rFonts w:ascii="Times New Roman" w:hAnsi="Times New Roman"/>
          <w:sz w:val="16"/>
          <w:szCs w:val="16"/>
          <w:highlight w:val="none"/>
          <w:lang w:eastAsia="ru-RU"/>
        </w:rPr>
        <w:suppressLineNumbers w:val="0"/>
      </w:pPr>
      <w:r>
        <w:rPr>
          <w:rFonts w:ascii="Times New Roman" w:hAnsi="Times New Roman"/>
          <w:bCs/>
          <w:sz w:val="16"/>
          <w:szCs w:val="16"/>
          <w:highlight w:val="none"/>
          <w:lang w:eastAsia="ru-RU"/>
        </w:rPr>
      </w:r>
      <w:r>
        <w:rPr>
          <w:rFonts w:ascii="Times New Roman" w:hAnsi="Times New Roman"/>
          <w:sz w:val="16"/>
          <w:szCs w:val="16"/>
          <w:highlight w:val="none"/>
          <w:lang w:eastAsia="ru-RU"/>
        </w:rPr>
      </w:r>
    </w:p>
    <w:p>
      <w:pPr>
        <w:contextualSpacing w:val="0"/>
        <w:ind w:firstLine="709"/>
        <w:jc w:val="both"/>
        <w:spacing w:before="0" w:after="0" w:line="283" w:lineRule="atLeast"/>
        <w:rPr>
          <w:rFonts w:ascii="Times New Roman" w:hAnsi="Times New Roman"/>
          <w:sz w:val="28"/>
          <w:szCs w:val="28"/>
          <w:highlight w:val="none"/>
          <w:lang w:eastAsia="ru-RU"/>
        </w:rPr>
        <w:suppressLineNumbers w:val="0"/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ерритория квартала 33 площадью 17,9 га располагается в развивающейся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части города, в которой будет возведен современный спортивный комплекс.  </w:t>
      </w: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генеральному плану на территории предусмотрена смешанная </w:t>
        <w:br/>
        <w:t xml:space="preserve">и общественно-деловая функциональная зона,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зонирование представлено зоной застройки многоэтажными жилыми домами (ЖЗ 101) </w:t>
        <w:br/>
        <w:t xml:space="preserve">и зоной озелененных территорий общего пользования (РЗ 601).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планировки утвержден в отношении планировочного района </w:t>
        <w:br/>
        <w:t xml:space="preserve">в целом, на перспективу развития</w:t>
      </w:r>
      <w:r>
        <w:rPr>
          <w:rFonts w:ascii="Times New Roman" w:hAnsi="Times New Roman" w:cs="Times New Roman"/>
          <w:sz w:val="28"/>
          <w:szCs w:val="28"/>
        </w:rPr>
        <w:t xml:space="preserve">, с учетом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каркаса территории </w:t>
        <w:br/>
        <w:t xml:space="preserve">и соответствующих нагрузок.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На территории расположено 3 МКД (7 квартир), признанных аварийными.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комплексном развитии данной территории принято в июне текущего года.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Основные обязательства застройщика: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благоустройство рекреационной зоны (бульвар);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переселение граждан из домов, признанных аварийными;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снос объектов капитального строительства;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строительство образовательных учреждений (детский сад, школа).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К возведению запланировано не более 130 тыс. кв. метров жилой площади.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Инициативу с намерением принять участие в реализации КРТ территорий кварталов Б и 33 проявил застройщик АО СЗ "ДСК-1". Также застройщиком </w:t>
        <w:br/>
        <w:t xml:space="preserve">в адрес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администрации города направлены концепции развития данных территорий.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964" w:right="567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07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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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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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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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0"/>
    <w:next w:val="850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1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0"/>
    <w:next w:val="850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1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1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1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1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1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1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1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0"/>
    <w:next w:val="85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0"/>
    <w:next w:val="850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51"/>
    <w:link w:val="693"/>
    <w:uiPriority w:val="10"/>
    <w:rPr>
      <w:sz w:val="48"/>
      <w:szCs w:val="48"/>
    </w:rPr>
  </w:style>
  <w:style w:type="paragraph" w:styleId="695">
    <w:name w:val="Subtitle"/>
    <w:basedOn w:val="850"/>
    <w:next w:val="850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51"/>
    <w:link w:val="695"/>
    <w:uiPriority w:val="11"/>
    <w:rPr>
      <w:sz w:val="24"/>
      <w:szCs w:val="24"/>
    </w:rPr>
  </w:style>
  <w:style w:type="paragraph" w:styleId="697">
    <w:name w:val="Quote"/>
    <w:basedOn w:val="850"/>
    <w:next w:val="850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0"/>
    <w:next w:val="850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0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51"/>
    <w:link w:val="701"/>
    <w:uiPriority w:val="99"/>
  </w:style>
  <w:style w:type="paragraph" w:styleId="703">
    <w:name w:val="Footer"/>
    <w:basedOn w:val="850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51"/>
    <w:link w:val="703"/>
    <w:uiPriority w:val="99"/>
  </w:style>
  <w:style w:type="paragraph" w:styleId="705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1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1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paragraph" w:styleId="854">
    <w:name w:val="List Paragraph"/>
    <w:basedOn w:val="850"/>
    <w:uiPriority w:val="34"/>
    <w:qFormat/>
    <w:pPr>
      <w:contextualSpacing/>
      <w:ind w:left="720"/>
    </w:pPr>
  </w:style>
  <w:style w:type="paragraph" w:styleId="855">
    <w:name w:val="Normal (Web)"/>
    <w:basedOn w:val="85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6">
    <w:name w:val="Hyperlink"/>
    <w:basedOn w:val="851"/>
    <w:uiPriority w:val="99"/>
    <w:semiHidden/>
    <w:unhideWhenUsed/>
    <w:rPr>
      <w:color w:val="0000ff"/>
      <w:u w:val="single"/>
    </w:rPr>
  </w:style>
  <w:style w:type="paragraph" w:styleId="857">
    <w:name w:val="Balloon Text"/>
    <w:basedOn w:val="850"/>
    <w:link w:val="8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851"/>
    <w:link w:val="857"/>
    <w:uiPriority w:val="99"/>
    <w:semiHidden/>
    <w:rPr>
      <w:rFonts w:ascii="Segoe UI" w:hAnsi="Segoe UI" w:cs="Segoe UI"/>
      <w:sz w:val="18"/>
      <w:szCs w:val="18"/>
    </w:rPr>
  </w:style>
  <w:style w:type="character" w:styleId="859" w:customStyle="1">
    <w:name w:val="Основной текст с отступом Знак"/>
    <w:qFormat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328E7-2D05-412B-8928-4EE50900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Брыль Наталья Петровна</dc:creator>
  <cp:keywords/>
  <dc:description/>
  <cp:revision>157</cp:revision>
  <dcterms:created xsi:type="dcterms:W3CDTF">2022-06-03T10:38:00Z</dcterms:created>
  <dcterms:modified xsi:type="dcterms:W3CDTF">2024-09-13T04:30:20Z</dcterms:modified>
</cp:coreProperties>
</file>