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5669"/>
        <w:jc w:val="left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Приложение 5 к протоколу</w:t>
      </w:r>
      <w:r>
        <w:rPr>
          <w:highlight w:val="none"/>
          <w14:ligatures w14:val="none"/>
        </w:rPr>
      </w:r>
      <w:r/>
    </w:p>
    <w:p>
      <w:pPr>
        <w:ind w:left="0" w:right="0" w:firstLine="5669"/>
        <w:jc w:val="left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Совета по вопросам развития 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  <w14:ligatures w14:val="none"/>
        </w:rPr>
      </w:r>
      <w:r/>
    </w:p>
    <w:p>
      <w:pPr>
        <w:ind w:left="0" w:right="0" w:firstLine="5669"/>
        <w:jc w:val="left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инвестиционной деятельности 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  <w14:ligatures w14:val="none"/>
        </w:rPr>
      </w:r>
      <w:r/>
    </w:p>
    <w:p>
      <w:pPr>
        <w:ind w:left="0" w:right="0" w:firstLine="5669"/>
        <w:jc w:val="left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в городе Нижневартовске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  <w14:ligatures w14:val="none"/>
        </w:rPr>
      </w:r>
      <w:r/>
    </w:p>
    <w:p>
      <w:pPr>
        <w:ind w:left="5669" w:right="-233" w:firstLine="0"/>
        <w:jc w:val="left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  <w:lang w:val="ru-RU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от 12.09.2024 №44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  <w14:ligatures w14:val="none"/>
        </w:rPr>
      </w:r>
    </w:p>
    <w:p>
      <w:pPr>
        <w:ind w:left="0" w:right="0" w:firstLine="709"/>
        <w:jc w:val="center"/>
        <w:spacing w:before="0" w:after="0" w:line="24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7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7"/>
          <w:highlight w:val="none"/>
          <w:lang w:eastAsia="ru-RU"/>
        </w:rPr>
      </w:r>
      <w:r>
        <w:rPr>
          <w:rFonts w:ascii="Times New Roman" w:hAnsi="Times New Roman" w:cs="Times New Roman"/>
          <w:color w:val="auto"/>
        </w:rPr>
      </w:r>
    </w:p>
    <w:p>
      <w:pPr>
        <w:jc w:val="center"/>
        <w:rPr>
          <w:rFonts w:ascii="Times New Roman" w:hAnsi="Times New Roman" w:cs="Times New Roman"/>
          <w:b/>
          <w:bCs w:val="0"/>
          <w:i w:val="0"/>
          <w:color w:val="auto"/>
          <w:sz w:val="28"/>
          <w:szCs w:val="28"/>
        </w:rPr>
        <w:outlineLvl w:val="1"/>
      </w:pPr>
      <w:r>
        <w:rPr>
          <w:rFonts w:ascii="Times New Roman" w:hAnsi="Times New Roman" w:cs="Times New Roman"/>
          <w:b/>
          <w:bCs/>
          <w:i w:val="0"/>
          <w:color w:val="auto"/>
          <w:sz w:val="28"/>
          <w:szCs w:val="28"/>
          <w:shd w:val="clear" w:color="auto" w:fill="auto"/>
        </w:rPr>
        <w:t xml:space="preserve">О результатах рейтинга города Нижневартовска по обеспечению</w:t>
      </w:r>
      <w:r>
        <w:rPr>
          <w:rFonts w:ascii="Times New Roman" w:hAnsi="Times New Roman" w:cs="Times New Roman"/>
          <w:b/>
          <w:bCs/>
          <w:color w:val="auto"/>
        </w:rPr>
      </w:r>
      <w:r>
        <w:rPr>
          <w:rFonts w:ascii="Times New Roman" w:hAnsi="Times New Roman" w:cs="Times New Roman"/>
          <w:b/>
          <w:bCs w:val="0"/>
          <w:i w:val="0"/>
          <w:color w:val="auto"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bCs/>
          <w:color w:val="auto"/>
        </w:rPr>
        <w:outlineLvl w:val="1"/>
      </w:pPr>
      <w:r>
        <w:rPr>
          <w:rFonts w:ascii="Times New Roman" w:hAnsi="Times New Roman" w:cs="Times New Roman"/>
          <w:b/>
          <w:bCs/>
          <w:i w:val="0"/>
          <w:color w:val="auto"/>
          <w:sz w:val="28"/>
          <w:szCs w:val="28"/>
          <w:shd w:val="clear" w:color="auto" w:fill="auto"/>
        </w:rPr>
        <w:t xml:space="preserve"> условий благоприятного инвестиционного климата и содействию </w:t>
      </w:r>
      <w:r>
        <w:rPr>
          <w:rFonts w:ascii="Times New Roman" w:hAnsi="Times New Roman" w:cs="Times New Roman"/>
          <w:b/>
          <w:bCs/>
          <w:i w:val="0"/>
          <w:color w:val="auto"/>
          <w:sz w:val="28"/>
          <w:szCs w:val="28"/>
        </w:rPr>
        <w:t xml:space="preserve">развитию конкуренции по итогам 20</w:t>
      </w:r>
      <w:r>
        <w:rPr>
          <w:rFonts w:ascii="Times New Roman" w:hAnsi="Times New Roman" w:eastAsia="Times New Roman" w:cs="Times New Roman"/>
          <w:b/>
          <w:bCs/>
          <w:i w:val="0"/>
          <w:iCs/>
          <w:color w:val="auto"/>
          <w:sz w:val="28"/>
          <w:szCs w:val="28"/>
          <w:lang w:val="ru-RU" w:eastAsia="en-US" w:bidi="ar-SA"/>
        </w:rPr>
        <w:t xml:space="preserve">23 </w:t>
      </w:r>
      <w:r>
        <w:rPr>
          <w:rFonts w:ascii="Times New Roman" w:hAnsi="Times New Roman" w:cs="Times New Roman"/>
          <w:b/>
          <w:bCs/>
          <w:i w:val="0"/>
          <w:color w:val="auto"/>
          <w:sz w:val="28"/>
          <w:szCs w:val="28"/>
        </w:rPr>
        <w:t xml:space="preserve">года</w:t>
      </w:r>
      <w:r>
        <w:rPr>
          <w:rFonts w:ascii="Times New Roman" w:hAnsi="Times New Roman" w:cs="Times New Roman"/>
          <w:b/>
          <w:bCs/>
          <w:color w:val="auto"/>
        </w:rPr>
      </w:r>
      <w:r>
        <w:rPr>
          <w:rFonts w:ascii="Times New Roman" w:hAnsi="Times New Roman" w:cs="Times New Roman"/>
          <w:b/>
          <w:bCs/>
          <w:color w:val="auto"/>
        </w:rPr>
      </w:r>
    </w:p>
    <w:p>
      <w:r/>
      <w:r/>
    </w:p>
    <w:p>
      <w:pPr>
        <w:pStyle w:val="841"/>
        <w:numPr>
          <w:ilvl w:val="0"/>
          <w:numId w:val="0"/>
        </w:numPr>
        <w:ind w:left="0" w:right="0" w:firstLine="680"/>
        <w:jc w:val="both"/>
        <w:spacing w:before="0" w:after="0" w:line="0" w:lineRule="atLeast"/>
        <w:widowControl/>
        <w:tabs>
          <w:tab w:val="clear" w:pos="367" w:leader="none"/>
          <w:tab w:val="left" w:pos="993" w:leader="none"/>
        </w:tabs>
        <w:rPr>
          <w:rFonts w:ascii="Times New Roman" w:hAnsi="Times New Roman" w:cs="Times New Roman"/>
          <w:color w:val="auto"/>
          <w:sz w:val="10"/>
          <w:szCs w:val="10"/>
        </w:rPr>
        <w:outlineLvl w:val="1"/>
      </w:pPr>
      <w:r>
        <w:rPr>
          <w:rFonts w:ascii="Times New Roman" w:hAnsi="Times New Roman" w:cs="Times New Roman"/>
          <w:i w:val="0"/>
          <w:color w:val="auto"/>
          <w:sz w:val="14"/>
          <w:szCs w:val="14"/>
        </w:rPr>
      </w:r>
      <w:r>
        <w:rPr>
          <w:rFonts w:ascii="Times New Roman" w:hAnsi="Times New Roman" w:cs="Times New Roman"/>
          <w:color w:val="auto"/>
          <w:sz w:val="10"/>
          <w:szCs w:val="10"/>
        </w:rPr>
      </w:r>
      <w:r>
        <w:rPr>
          <w:rFonts w:ascii="Times New Roman" w:hAnsi="Times New Roman" w:cs="Times New Roman"/>
          <w:color w:val="auto"/>
          <w:sz w:val="10"/>
          <w:szCs w:val="10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</w:rPr>
        <w:suppressLineNumbers w:val="0"/>
      </w:pPr>
      <w:r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shd w:val="clear" w:color="auto" w:fill="auto"/>
        </w:rPr>
        <w:t xml:space="preserve">Р</w:t>
      </w:r>
      <w:r>
        <w:rPr>
          <w:rFonts w:ascii="Times New Roman" w:hAnsi="Times New Roman" w:cs="Times New Roman"/>
          <w:i w:val="0"/>
          <w:color w:val="auto"/>
          <w:sz w:val="28"/>
          <w:szCs w:val="28"/>
          <w:shd w:val="clear" w:color="auto" w:fill="auto"/>
        </w:rPr>
        <w:t xml:space="preserve">ейтинг</w:t>
      </w:r>
      <w:r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shd w:val="clear" w:color="auto" w:fill="auto"/>
        </w:rPr>
        <w:t xml:space="preserve"> муниципальных образований Ханты-Мансийского автономного округа-Югры (далее – автономный округ) </w:t>
      </w:r>
      <w:r>
        <w:rPr>
          <w:rFonts w:ascii="Times New Roman" w:hAnsi="Times New Roman" w:cs="Times New Roman"/>
          <w:i w:val="0"/>
          <w:color w:val="auto"/>
          <w:sz w:val="28"/>
          <w:szCs w:val="28"/>
          <w:shd w:val="clear" w:color="auto" w:fill="auto"/>
        </w:rPr>
        <w:t xml:space="preserve">по обеспечению условий благоприятного инвестиционного климата и содействию </w:t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развитию конкуренции</w:t>
      </w:r>
      <w:r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shd w:val="clear" w:color="auto" w:fill="auto"/>
        </w:rPr>
        <w:t xml:space="preserve"> проводится ежегодно органами государственной власти автономного округа </w:t>
        <w:br/>
      </w:r>
      <w:r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</w:rPr>
        <w:t xml:space="preserve">с целью оценки эффективности мероприятий, осуществляемых муниципалитетами в данной сфере. </w:t>
      </w:r>
      <w:r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</w:rPr>
        <w:suppressLineNumbers w:val="0"/>
      </w:pPr>
      <w:r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shd w:val="clear" w:color="auto" w:fill="auto"/>
        </w:rPr>
        <w:t xml:space="preserve">Р</w:t>
      </w:r>
      <w:r>
        <w:rPr>
          <w:rFonts w:ascii="Times New Roman" w:hAnsi="Times New Roman" w:cs="Times New Roman"/>
          <w:i w:val="0"/>
          <w:color w:val="auto"/>
          <w:sz w:val="28"/>
          <w:szCs w:val="28"/>
          <w:shd w:val="clear" w:color="auto" w:fill="auto"/>
        </w:rPr>
        <w:t xml:space="preserve">ейтинг</w:t>
      </w:r>
      <w:r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shd w:val="clear" w:color="auto" w:fill="auto"/>
        </w:rPr>
        <w:t xml:space="preserve"> </w:t>
      </w:r>
      <w:r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</w:rPr>
        <w:t xml:space="preserve">за 2023 год проведен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по 35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показателям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, сгруппированным                  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по 5 направлениям: </w:t>
      </w:r>
      <w:r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</w:rPr>
      </w:r>
    </w:p>
    <w:p>
      <w:pPr>
        <w:pStyle w:val="684"/>
        <w:ind w:left="0" w:right="0" w:firstLine="709"/>
        <w:rPr>
          <w:rFonts w:ascii="Times New Roman" w:hAnsi="Times New Roman" w:cs="Times New Roman"/>
          <w:color w:val="auto"/>
        </w:rPr>
        <w:suppressLineNumbers w:val="0"/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- Инвестиционная деятельность,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привлечение инвестиций;</w:t>
      </w:r>
      <w:r>
        <w:rPr>
          <w:rFonts w:ascii="Times New Roman" w:hAnsi="Times New Roman" w:cs="Times New Roman"/>
          <w:color w:val="auto"/>
        </w:rPr>
      </w:r>
      <w:r>
        <w:rPr>
          <w:rFonts w:ascii="Times New Roman" w:hAnsi="Times New Roman" w:cs="Times New Roman"/>
          <w:color w:val="auto"/>
        </w:rPr>
      </w:r>
    </w:p>
    <w:p>
      <w:pPr>
        <w:pStyle w:val="684"/>
        <w:ind w:left="0" w:right="0" w:firstLine="709"/>
        <w:jc w:val="both"/>
        <w:rPr>
          <w:rFonts w:ascii="Times New Roman" w:hAnsi="Times New Roman" w:cs="Times New Roman"/>
          <w:color w:val="auto"/>
        </w:rPr>
        <w:suppressLineNumbers w:val="0"/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 xml:space="preserve">- Эффективность организационных механизмов,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 xml:space="preserve">качество                             информационной поддержки инвесторов; </w:t>
      </w:r>
      <w:r>
        <w:rPr>
          <w:rFonts w:ascii="Times New Roman" w:hAnsi="Times New Roman" w:cs="Times New Roman"/>
          <w:color w:val="auto"/>
        </w:rPr>
      </w:r>
      <w:r>
        <w:rPr>
          <w:rFonts w:ascii="Times New Roman" w:hAnsi="Times New Roman" w:cs="Times New Roman"/>
          <w:color w:val="auto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color w:val="auto"/>
        </w:rPr>
        <w:suppressLineNumbers w:val="0"/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 xml:space="preserve">- Развитие малого и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 xml:space="preserve">среднего предпринимательства; </w:t>
      </w:r>
      <w:r>
        <w:rPr>
          <w:rFonts w:ascii="Times New Roman" w:hAnsi="Times New Roman" w:cs="Times New Roman"/>
          <w:color w:val="auto"/>
        </w:rPr>
      </w:r>
      <w:r>
        <w:rPr>
          <w:rFonts w:ascii="Times New Roman" w:hAnsi="Times New Roman" w:cs="Times New Roman"/>
          <w:color w:val="auto"/>
        </w:rPr>
      </w:r>
    </w:p>
    <w:p>
      <w:pPr>
        <w:contextualSpacing w:val="0"/>
        <w:ind w:left="0" w:right="0" w:firstLine="709"/>
        <w:jc w:val="both"/>
        <w:spacing w:before="0" w:after="0" w:line="283" w:lineRule="atLeast"/>
        <w:rPr>
          <w:rFonts w:ascii="Times New Roman" w:hAnsi="Times New Roman" w:cs="Times New Roman"/>
          <w:color w:val="auto"/>
        </w:rPr>
        <w:suppressLineNumbers w:val="0"/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 xml:space="preserve">- Повышение качества регуляторной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 xml:space="preserve">среды для бизнеса; </w:t>
      </w:r>
      <w:r>
        <w:rPr>
          <w:rFonts w:ascii="Times New Roman" w:hAnsi="Times New Roman" w:cs="Times New Roman"/>
          <w:color w:val="auto"/>
        </w:rPr>
      </w:r>
      <w:r>
        <w:rPr>
          <w:rFonts w:ascii="Times New Roman" w:hAnsi="Times New Roman" w:cs="Times New Roman"/>
          <w:color w:val="auto"/>
        </w:rPr>
      </w:r>
    </w:p>
    <w:p>
      <w:pPr>
        <w:contextualSpacing w:val="0"/>
        <w:ind w:left="0" w:right="0" w:firstLine="709"/>
        <w:jc w:val="both"/>
        <w:spacing w:before="0" w:after="0" w:line="283" w:lineRule="atLeast"/>
        <w:rPr>
          <w:rFonts w:ascii="Times New Roman" w:hAnsi="Times New Roman" w:cs="Times New Roman"/>
          <w:color w:val="auto"/>
        </w:rPr>
        <w:suppressLineNumbers w:val="0"/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 xml:space="preserve">- Развитие конкуренции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auto"/>
        </w:rPr>
      </w:r>
      <w:r>
        <w:rPr>
          <w:rFonts w:ascii="Times New Roman" w:hAnsi="Times New Roman" w:cs="Times New Roman"/>
          <w:color w:val="auto"/>
        </w:rPr>
      </w:r>
    </w:p>
    <w:p>
      <w:pPr>
        <w:contextualSpacing w:val="0"/>
        <w:ind w:left="0" w:right="0" w:firstLine="709"/>
        <w:jc w:val="both"/>
        <w:spacing w:before="0" w:after="0" w:line="283" w:lineRule="atLeast"/>
        <w:rPr>
          <w:rFonts w:ascii="Times New Roman" w:hAnsi="Times New Roman" w:cs="Times New Roman"/>
          <w:b w:val="0"/>
          <w:bCs w:val="0"/>
          <w:i w:val="0"/>
          <w:color w:val="0070c0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 xml:space="preserve">По итогам 20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ru-RU" w:eastAsia="en-US" w:bidi="ar-SA"/>
        </w:rPr>
        <w:t xml:space="preserve">23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 xml:space="preserve"> года Нижневартовск занял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 xml:space="preserve"> 3 место в рейтинге (по итогам 2022 года также 3 место) и 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 xml:space="preserve">вошел в группу А "Муниципальные образования       с благоприятными условиями развития предпринимательской                                      и инвестиционной деятельности и высоким уровнем развития  конкуренции".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70c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i w:val="0"/>
          <w:color w:val="0070c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i w:val="0"/>
          <w:color w:val="0070c0"/>
          <w:sz w:val="28"/>
          <w:szCs w:val="28"/>
          <w:highlight w:val="none"/>
        </w:rPr>
      </w:r>
    </w:p>
    <w:p>
      <w:pPr>
        <w:contextualSpacing w:val="0"/>
        <w:ind w:left="0" w:right="0" w:firstLine="709"/>
        <w:jc w:val="both"/>
        <w:spacing w:before="0" w:after="0" w:line="283" w:lineRule="atLeast"/>
        <w:rPr>
          <w:rFonts w:ascii="Times New Roman" w:hAnsi="Times New Roman" w:cs="Times New Roman"/>
          <w:b w:val="0"/>
          <w:bCs w:val="0"/>
          <w:i w:val="0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</w:rPr>
        <w:t xml:space="preserve">В рейтинг за 2023 год были 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</w:rPr>
        <w:t xml:space="preserve">внесены изменения, коснувшиеся структуры показателей и методики их расчета 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</w:rPr>
        <w:t xml:space="preserve">(если ранее итоговые показатели оценивались по 5-балльной шкале, т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</w:rPr>
        <w:t xml:space="preserve">о рейтинг за 2023 год рассчитан                               по 100-балльной шкале)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</w:rPr>
        <w:t xml:space="preserve">, а также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</w:rPr>
        <w:t xml:space="preserve">введены новые показатели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lang w:val="ru-RU" w:eastAsia="en-US" w:bidi="ar-SA"/>
        </w:rPr>
        <w:t xml:space="preserve"> рейтинга:</w:t>
      </w:r>
      <w:r>
        <w:rPr>
          <w:rFonts w:ascii="Times New Roman" w:hAnsi="Times New Roman" w:cs="Times New Roman"/>
          <w:b w:val="0"/>
          <w:bCs w:val="0"/>
          <w:i w:val="0"/>
          <w:color w:val="000000" w:themeColor="text1"/>
          <w:sz w:val="28"/>
          <w:szCs w:val="28"/>
          <w:highlight w:val="none"/>
          <w:lang w:val="ru-RU" w:eastAsia="en-US" w:bidi="ar-SA"/>
        </w:rPr>
      </w:r>
      <w:r>
        <w:rPr>
          <w:rFonts w:ascii="Times New Roman" w:hAnsi="Times New Roman" w:cs="Times New Roman"/>
          <w:b w:val="0"/>
          <w:bCs w:val="0"/>
          <w:i w:val="0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left="0" w:right="0" w:firstLine="709"/>
        <w:jc w:val="both"/>
        <w:spacing w:before="0" w:after="0" w:line="283" w:lineRule="atLeast"/>
        <w:rPr>
          <w:rFonts w:ascii="Times New Roman" w:hAnsi="Times New Roman" w:cs="Times New Roman"/>
          <w:b w:val="0"/>
          <w:bCs w:val="0"/>
          <w:i w:val="0"/>
          <w:color w:val="0070c0" w:themeColor="text1"/>
          <w:sz w:val="28"/>
          <w:szCs w:val="28"/>
          <w14:ligatures w14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lang w:val="ru-RU" w:eastAsia="en-US" w:bidi="ar-SA"/>
        </w:rPr>
        <w:t xml:space="preserve">- "Индекс внедрения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lang w:val="ru-RU" w:eastAsia="en-US" w:bidi="ar-SA"/>
        </w:rPr>
        <w:t xml:space="preserve"> элементов муниципального инвестиционного стандарта" - по данному показателю Нижневартовском получено максимальное количество баллов;</w:t>
      </w:r>
      <w:r>
        <w:rPr>
          <w:rFonts w:ascii="Times New Roman" w:hAnsi="Times New Roman" w:cs="Times New Roman"/>
          <w:b w:val="0"/>
          <w:bCs w:val="0"/>
          <w:i w:val="0"/>
          <w:color w:val="0070c0" w:themeColor="text1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i w:val="0"/>
          <w:color w:val="0070c0" w:themeColor="text1"/>
          <w:sz w:val="28"/>
          <w:szCs w:val="28"/>
          <w14:ligatures w14:val="none"/>
        </w:rPr>
      </w:r>
    </w:p>
    <w:p>
      <w:pPr>
        <w:contextualSpacing w:val="0"/>
        <w:ind w:left="0" w:right="0" w:firstLine="709"/>
        <w:jc w:val="both"/>
        <w:spacing w:before="0" w:after="0" w:line="283" w:lineRule="atLeast"/>
        <w:rPr>
          <w:rFonts w:ascii="Times New Roman" w:hAnsi="Times New Roman" w:cs="Times New Roman"/>
          <w:b w:val="0"/>
          <w:bCs w:val="0"/>
          <w:i w:val="0"/>
          <w:color w:val="0070c0" w:themeColor="text1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lang w:val="ru-RU" w:eastAsia="en-US" w:bidi="ar-SA"/>
        </w:rPr>
        <w:t xml:space="preserve">- "Наличие интерактивных сервисов подачи заявок через информационный раздел, инвестиционный портал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lang w:val="ru-RU" w:eastAsia="en-US" w:bidi="ar-SA"/>
        </w:rPr>
        <w:t xml:space="preserve">";</w:t>
      </w:r>
      <w:r>
        <w:rPr>
          <w:color w:val="000000" w:themeColor="text1"/>
        </w:rPr>
        <w:t xml:space="preserve"> 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lang w:val="ru-RU" w:eastAsia="en-US" w:bidi="ar-SA"/>
        </w:rPr>
        <w:t xml:space="preserve">"Эффективность процедур получения земельных участков на торгах/без проведения торгов" – по данным показателям Нижневартовском набраны высокие баллы.</w:t>
      </w:r>
      <w:r>
        <w:rPr>
          <w:rFonts w:ascii="Times New Roman" w:hAnsi="Times New Roman" w:cs="Times New Roman"/>
          <w:b w:val="0"/>
          <w:bCs w:val="0"/>
          <w:i w:val="0"/>
          <w:color w:val="0070c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 w:val="0"/>
          <w:bCs w:val="0"/>
          <w:i w:val="0"/>
          <w:color w:val="0070c0" w:themeColor="text1"/>
          <w:sz w:val="28"/>
          <w:szCs w:val="28"/>
          <w:highlight w:val="none"/>
          <w14:ligatures w14:val="none"/>
        </w:rPr>
      </w:r>
    </w:p>
    <w:p>
      <w:pPr>
        <w:contextualSpacing w:val="0"/>
        <w:ind w:left="0" w:right="0" w:firstLine="709"/>
        <w:jc w:val="both"/>
        <w:spacing w:before="0" w:after="0" w:line="283" w:lineRule="atLeast"/>
        <w:rPr>
          <w:rFonts w:ascii="Times New Roman" w:hAnsi="Times New Roman" w:cs="Times New Roman"/>
          <w:b w:val="0"/>
          <w:bCs w:val="0"/>
          <w:i w:val="0"/>
          <w:color w:val="0070c0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i w:val="0"/>
          <w:color w:val="0070c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i w:val="0"/>
          <w:color w:val="0070c0"/>
          <w:sz w:val="28"/>
          <w:szCs w:val="28"/>
          <w:highlight w:val="none"/>
        </w:rPr>
      </w:r>
    </w:p>
    <w:p>
      <w:pPr>
        <w:contextualSpacing w:val="0"/>
        <w:ind w:left="0" w:right="0" w:firstLine="709"/>
        <w:jc w:val="both"/>
        <w:spacing w:before="0" w:after="0" w:line="283" w:lineRule="atLeast"/>
        <w:rPr>
          <w:rFonts w:ascii="Times New Roman" w:hAnsi="Times New Roman" w:cs="Times New Roman"/>
          <w:b w:val="0"/>
          <w:bCs w:val="0"/>
          <w:i w:val="0"/>
          <w:color w:val="0070c0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 xml:space="preserve">Аналитический отчет о результатах рейтинга муниципальных образований автономного округа за 2023 год опубликован на Инвестиционном портале Югры  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</w:r>
      <w:hyperlink r:id="rId10" w:tooltip="https://investugra.ru/about/investment-climate/municipality/" w:history="1">
        <w:r>
          <w:rPr>
            <w:rStyle w:val="823"/>
            <w:rFonts w:ascii="Times New Roman" w:hAnsi="Times New Roman" w:cs="Times New Roman"/>
            <w:b w:val="0"/>
            <w:bCs w:val="0"/>
            <w:i w:val="0"/>
            <w:iCs w:val="0"/>
            <w:color w:val="auto"/>
            <w:sz w:val="28"/>
            <w:szCs w:val="28"/>
          </w:rPr>
          <w:t xml:space="preserve">https://investugra.ru/about/investment-climate/municipality/</w:t>
        </w:r>
        <w:r>
          <w:rPr>
            <w:rStyle w:val="823"/>
            <w:rFonts w:ascii="Times New Roman" w:hAnsi="Times New Roman" w:cs="Times New Roman"/>
            <w:b w:val="0"/>
            <w:bCs w:val="0"/>
            <w:i w:val="0"/>
            <w:iCs w:val="0"/>
            <w:color w:val="auto"/>
            <w:sz w:val="28"/>
            <w:szCs w:val="28"/>
          </w:rPr>
          <w:t xml:space="preserve">.</w:t>
        </w:r>
      </w:hyperlink>
      <w:r>
        <w:rPr>
          <w:rFonts w:ascii="Times New Roman" w:hAnsi="Times New Roman" w:cs="Times New Roman"/>
          <w:b w:val="0"/>
          <w:bCs w:val="0"/>
          <w:i w:val="0"/>
          <w:color w:val="0070c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i w:val="0"/>
          <w:color w:val="0070c0"/>
          <w:sz w:val="28"/>
          <w:szCs w:val="28"/>
          <w:highlight w:val="none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822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imSun">
    <w:panose1 w:val="02000506000000020000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)"/>
      <w:lvlJc w:val="left"/>
      <w:pPr>
        <w:ind w:left="840" w:hanging="420"/>
      </w:pPr>
    </w:lvl>
    <w:lvl w:ilvl="2">
      <w:start w:val="1"/>
      <w:numFmt w:val="lowerRoman"/>
      <w:isLgl w:val="false"/>
      <w:suff w:val="tab"/>
      <w:lvlText w:val="%3."/>
      <w:lvlJc w:val="right"/>
      <w:pPr>
        <w:ind w:left="1260" w:hanging="420"/>
      </w:pPr>
    </w:lvl>
    <w:lvl w:ilvl="3">
      <w:start w:val="1"/>
      <w:numFmt w:val="decimal"/>
      <w:isLgl w:val="false"/>
      <w:suff w:val="tab"/>
      <w:lvlText w:val="%4."/>
      <w:lvlJc w:val="left"/>
      <w:pPr>
        <w:ind w:left="1680" w:hanging="420"/>
      </w:pPr>
    </w:lvl>
    <w:lvl w:ilvl="4">
      <w:start w:val="1"/>
      <w:numFmt w:val="lowerLetter"/>
      <w:isLgl w:val="false"/>
      <w:suff w:val="tab"/>
      <w:lvlText w:val="%5)"/>
      <w:lvlJc w:val="left"/>
      <w:pPr>
        <w:ind w:left="2100" w:hanging="420"/>
      </w:pPr>
    </w:lvl>
    <w:lvl w:ilvl="5">
      <w:start w:val="1"/>
      <w:numFmt w:val="lowerRoman"/>
      <w:isLgl w:val="false"/>
      <w:suff w:val="tab"/>
      <w:lvlText w:val="%6."/>
      <w:lvlJc w:val="right"/>
      <w:pPr>
        <w:ind w:left="2520" w:hanging="420"/>
      </w:pPr>
    </w:lvl>
    <w:lvl w:ilvl="6">
      <w:start w:val="1"/>
      <w:numFmt w:val="decimal"/>
      <w:isLgl w:val="false"/>
      <w:suff w:val="tab"/>
      <w:lvlText w:val="%7."/>
      <w:lvlJc w:val="left"/>
      <w:pPr>
        <w:ind w:left="2940" w:hanging="420"/>
      </w:pPr>
    </w:lvl>
    <w:lvl w:ilvl="7">
      <w:start w:val="1"/>
      <w:numFmt w:val="lowerLetter"/>
      <w:isLgl w:val="false"/>
      <w:suff w:val="tab"/>
      <w:lvlText w:val="%8)"/>
      <w:lvlJc w:val="left"/>
      <w:pPr>
        <w:ind w:left="3360" w:hanging="420"/>
      </w:pPr>
    </w:lvl>
    <w:lvl w:ilvl="8">
      <w:start w:val="1"/>
      <w:numFmt w:val="lowerRoman"/>
      <w:isLgl w:val="false"/>
      <w:suff w:val="tab"/>
      <w:lvlText w:val="%9."/>
      <w:lvlJc w:val="right"/>
      <w:pPr>
        <w:ind w:left="3780" w:hanging="42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0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7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zh-CN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8">
    <w:name w:val="Heading 1"/>
    <w:basedOn w:val="841"/>
    <w:next w:val="841"/>
    <w:link w:val="66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9">
    <w:name w:val="Heading 1 Char"/>
    <w:basedOn w:val="844"/>
    <w:link w:val="668"/>
    <w:uiPriority w:val="9"/>
    <w:rPr>
      <w:rFonts w:ascii="Arial" w:hAnsi="Arial" w:eastAsia="Arial" w:cs="Arial"/>
      <w:sz w:val="40"/>
      <w:szCs w:val="40"/>
    </w:rPr>
  </w:style>
  <w:style w:type="character" w:styleId="670">
    <w:name w:val="Heading 2 Char"/>
    <w:basedOn w:val="844"/>
    <w:link w:val="842"/>
    <w:uiPriority w:val="9"/>
    <w:rPr>
      <w:rFonts w:ascii="Arial" w:hAnsi="Arial" w:eastAsia="Arial" w:cs="Arial"/>
      <w:sz w:val="34"/>
    </w:rPr>
  </w:style>
  <w:style w:type="character" w:styleId="671">
    <w:name w:val="Heading 3 Char"/>
    <w:basedOn w:val="844"/>
    <w:link w:val="843"/>
    <w:uiPriority w:val="9"/>
    <w:rPr>
      <w:rFonts w:ascii="Arial" w:hAnsi="Arial" w:eastAsia="Arial" w:cs="Arial"/>
      <w:sz w:val="30"/>
      <w:szCs w:val="30"/>
    </w:rPr>
  </w:style>
  <w:style w:type="paragraph" w:styleId="672">
    <w:name w:val="Heading 4"/>
    <w:basedOn w:val="841"/>
    <w:next w:val="841"/>
    <w:link w:val="6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3">
    <w:name w:val="Heading 4 Char"/>
    <w:basedOn w:val="844"/>
    <w:link w:val="672"/>
    <w:uiPriority w:val="9"/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841"/>
    <w:next w:val="841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5">
    <w:name w:val="Heading 5 Char"/>
    <w:basedOn w:val="844"/>
    <w:link w:val="674"/>
    <w:uiPriority w:val="9"/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841"/>
    <w:next w:val="841"/>
    <w:link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7">
    <w:name w:val="Heading 6 Char"/>
    <w:basedOn w:val="844"/>
    <w:link w:val="676"/>
    <w:uiPriority w:val="9"/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841"/>
    <w:next w:val="841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9">
    <w:name w:val="Heading 7 Char"/>
    <w:basedOn w:val="844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0">
    <w:name w:val="Heading 8"/>
    <w:basedOn w:val="841"/>
    <w:next w:val="841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1">
    <w:name w:val="Heading 8 Char"/>
    <w:basedOn w:val="844"/>
    <w:link w:val="680"/>
    <w:uiPriority w:val="9"/>
    <w:rPr>
      <w:rFonts w:ascii="Arial" w:hAnsi="Arial" w:eastAsia="Arial" w:cs="Arial"/>
      <w:i/>
      <w:iCs/>
      <w:sz w:val="22"/>
      <w:szCs w:val="22"/>
    </w:rPr>
  </w:style>
  <w:style w:type="paragraph" w:styleId="682">
    <w:name w:val="Heading 9"/>
    <w:basedOn w:val="841"/>
    <w:next w:val="841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>
    <w:name w:val="Heading 9 Char"/>
    <w:basedOn w:val="844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84">
    <w:name w:val="No Spacing"/>
    <w:uiPriority w:val="1"/>
    <w:qFormat/>
    <w:pPr>
      <w:spacing w:before="0" w:after="0" w:line="240" w:lineRule="auto"/>
    </w:pPr>
  </w:style>
  <w:style w:type="paragraph" w:styleId="685">
    <w:name w:val="Title"/>
    <w:basedOn w:val="841"/>
    <w:next w:val="841"/>
    <w:link w:val="68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6">
    <w:name w:val="Title Char"/>
    <w:basedOn w:val="844"/>
    <w:link w:val="685"/>
    <w:uiPriority w:val="10"/>
    <w:rPr>
      <w:sz w:val="48"/>
      <w:szCs w:val="48"/>
    </w:rPr>
  </w:style>
  <w:style w:type="paragraph" w:styleId="687">
    <w:name w:val="Subtitle"/>
    <w:basedOn w:val="841"/>
    <w:next w:val="841"/>
    <w:link w:val="688"/>
    <w:uiPriority w:val="11"/>
    <w:qFormat/>
    <w:pPr>
      <w:spacing w:before="200" w:after="200"/>
    </w:pPr>
    <w:rPr>
      <w:sz w:val="24"/>
      <w:szCs w:val="24"/>
    </w:rPr>
  </w:style>
  <w:style w:type="character" w:styleId="688">
    <w:name w:val="Subtitle Char"/>
    <w:basedOn w:val="844"/>
    <w:link w:val="687"/>
    <w:uiPriority w:val="11"/>
    <w:rPr>
      <w:sz w:val="24"/>
      <w:szCs w:val="24"/>
    </w:rPr>
  </w:style>
  <w:style w:type="paragraph" w:styleId="689">
    <w:name w:val="Quote"/>
    <w:basedOn w:val="841"/>
    <w:next w:val="841"/>
    <w:link w:val="690"/>
    <w:uiPriority w:val="29"/>
    <w:qFormat/>
    <w:pPr>
      <w:ind w:left="720" w:right="720"/>
    </w:pPr>
    <w:rPr>
      <w:i/>
    </w:rPr>
  </w:style>
  <w:style w:type="character" w:styleId="690">
    <w:name w:val="Quote Char"/>
    <w:link w:val="689"/>
    <w:uiPriority w:val="29"/>
    <w:rPr>
      <w:i/>
    </w:rPr>
  </w:style>
  <w:style w:type="paragraph" w:styleId="691">
    <w:name w:val="Intense Quote"/>
    <w:basedOn w:val="841"/>
    <w:next w:val="841"/>
    <w:link w:val="69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2">
    <w:name w:val="Intense Quote Char"/>
    <w:link w:val="691"/>
    <w:uiPriority w:val="30"/>
    <w:rPr>
      <w:i/>
    </w:rPr>
  </w:style>
  <w:style w:type="character" w:styleId="693">
    <w:name w:val="Header Char"/>
    <w:basedOn w:val="844"/>
    <w:link w:val="852"/>
    <w:uiPriority w:val="99"/>
  </w:style>
  <w:style w:type="character" w:styleId="694">
    <w:name w:val="Footer Char"/>
    <w:basedOn w:val="844"/>
    <w:link w:val="854"/>
    <w:uiPriority w:val="99"/>
  </w:style>
  <w:style w:type="paragraph" w:styleId="695">
    <w:name w:val="Caption"/>
    <w:basedOn w:val="841"/>
    <w:next w:val="84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6">
    <w:name w:val="Caption Char"/>
    <w:basedOn w:val="695"/>
    <w:link w:val="854"/>
    <w:uiPriority w:val="99"/>
  </w:style>
  <w:style w:type="table" w:styleId="697">
    <w:name w:val="Table Grid"/>
    <w:basedOn w:val="84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Table Grid Light"/>
    <w:basedOn w:val="8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9">
    <w:name w:val="Plain Table 1"/>
    <w:basedOn w:val="8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2"/>
    <w:basedOn w:val="84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>
    <w:name w:val="Plain Table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2">
    <w:name w:val="Plain Table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Plain Table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4">
    <w:name w:val="Grid Table 1 Light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4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6">
    <w:name w:val="Grid Table 4 - Accent 1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7">
    <w:name w:val="Grid Table 4 - Accent 2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8">
    <w:name w:val="Grid Table 4 - Accent 3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9">
    <w:name w:val="Grid Table 4 - Accent 4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0">
    <w:name w:val="Grid Table 4 - Accent 5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1">
    <w:name w:val="Grid Table 4 - Accent 6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2">
    <w:name w:val="Grid Table 5 Dark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6">
    <w:name w:val="Grid Table 5 Dark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9">
    <w:name w:val="Grid Table 6 Colorful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0">
    <w:name w:val="Grid Table 6 Colorful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1">
    <w:name w:val="Grid Table 6 Colorful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2">
    <w:name w:val="Grid Table 6 Colorful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3">
    <w:name w:val="Grid Table 6 Colorful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4">
    <w:name w:val="Grid Table 6 Colorful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6 Colorful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6">
    <w:name w:val="Grid Table 7 Colorful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1">
    <w:name w:val="List Table 2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2">
    <w:name w:val="List Table 2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3">
    <w:name w:val="List Table 2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4">
    <w:name w:val="List Table 2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5">
    <w:name w:val="List Table 2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6">
    <w:name w:val="List Table 2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7">
    <w:name w:val="List Table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5 Dark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6 Colorful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9">
    <w:name w:val="List Table 6 Colorful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0">
    <w:name w:val="List Table 6 Colorful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1">
    <w:name w:val="List Table 6 Colorful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2">
    <w:name w:val="List Table 6 Colorful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3">
    <w:name w:val="List Table 6 Colorful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4">
    <w:name w:val="List Table 6 Colorful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5">
    <w:name w:val="List Table 7 Colorful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6">
    <w:name w:val="List Table 7 Colorful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7">
    <w:name w:val="List Table 7 Colorful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8">
    <w:name w:val="List Table 7 Colorful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9">
    <w:name w:val="List Table 7 Colorful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0">
    <w:name w:val="List Table 7 Colorful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1">
    <w:name w:val="List Table 7 Colorful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2">
    <w:name w:val="Lined - Accent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Lined - Accent 1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4">
    <w:name w:val="Lined - Accent 2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5">
    <w:name w:val="Lined - Accent 3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6">
    <w:name w:val="Lined - Accent 4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7">
    <w:name w:val="Lined - Accent 5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8">
    <w:name w:val="Lined - Accent 6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9">
    <w:name w:val="Bordered &amp; Lined - Accent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Bordered &amp; Lined - Accent 1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1">
    <w:name w:val="Bordered &amp; Lined - Accent 2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2">
    <w:name w:val="Bordered &amp; Lined - Accent 3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3">
    <w:name w:val="Bordered &amp; Lined - Accent 4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4">
    <w:name w:val="Bordered &amp; Lined - Accent 5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5">
    <w:name w:val="Bordered &amp; Lined - Accent 6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6">
    <w:name w:val="Bordered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7">
    <w:name w:val="Bordered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8">
    <w:name w:val="Bordered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9">
    <w:name w:val="Bordered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0">
    <w:name w:val="Bordered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1">
    <w:name w:val="Bordered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2">
    <w:name w:val="Bordered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3">
    <w:name w:val="Hyperlink"/>
    <w:uiPriority w:val="99"/>
    <w:unhideWhenUsed/>
    <w:rPr>
      <w:color w:val="0000ff" w:themeColor="hyperlink"/>
      <w:u w:val="single"/>
    </w:rPr>
  </w:style>
  <w:style w:type="paragraph" w:styleId="824">
    <w:name w:val="footnote text"/>
    <w:basedOn w:val="841"/>
    <w:link w:val="825"/>
    <w:uiPriority w:val="99"/>
    <w:semiHidden/>
    <w:unhideWhenUsed/>
    <w:pPr>
      <w:spacing w:after="40" w:line="240" w:lineRule="auto"/>
    </w:pPr>
    <w:rPr>
      <w:sz w:val="18"/>
    </w:rPr>
  </w:style>
  <w:style w:type="character" w:styleId="825">
    <w:name w:val="Footnote Text Char"/>
    <w:link w:val="824"/>
    <w:uiPriority w:val="99"/>
    <w:rPr>
      <w:sz w:val="18"/>
    </w:rPr>
  </w:style>
  <w:style w:type="character" w:styleId="826">
    <w:name w:val="footnote reference"/>
    <w:basedOn w:val="844"/>
    <w:uiPriority w:val="99"/>
    <w:unhideWhenUsed/>
    <w:rPr>
      <w:vertAlign w:val="superscript"/>
    </w:rPr>
  </w:style>
  <w:style w:type="paragraph" w:styleId="827">
    <w:name w:val="endnote text"/>
    <w:basedOn w:val="841"/>
    <w:link w:val="828"/>
    <w:uiPriority w:val="99"/>
    <w:semiHidden/>
    <w:unhideWhenUsed/>
    <w:pPr>
      <w:spacing w:after="0" w:line="240" w:lineRule="auto"/>
    </w:pPr>
    <w:rPr>
      <w:sz w:val="20"/>
    </w:rPr>
  </w:style>
  <w:style w:type="character" w:styleId="828">
    <w:name w:val="Endnote Text Char"/>
    <w:link w:val="827"/>
    <w:uiPriority w:val="99"/>
    <w:rPr>
      <w:sz w:val="20"/>
    </w:rPr>
  </w:style>
  <w:style w:type="character" w:styleId="829">
    <w:name w:val="endnote reference"/>
    <w:basedOn w:val="844"/>
    <w:uiPriority w:val="99"/>
    <w:semiHidden/>
    <w:unhideWhenUsed/>
    <w:rPr>
      <w:vertAlign w:val="superscript"/>
    </w:rPr>
  </w:style>
  <w:style w:type="paragraph" w:styleId="830">
    <w:name w:val="toc 1"/>
    <w:basedOn w:val="841"/>
    <w:next w:val="841"/>
    <w:uiPriority w:val="39"/>
    <w:unhideWhenUsed/>
    <w:pPr>
      <w:ind w:left="0" w:right="0" w:firstLine="0"/>
      <w:spacing w:after="57"/>
    </w:pPr>
  </w:style>
  <w:style w:type="paragraph" w:styleId="831">
    <w:name w:val="toc 2"/>
    <w:basedOn w:val="841"/>
    <w:next w:val="841"/>
    <w:uiPriority w:val="39"/>
    <w:unhideWhenUsed/>
    <w:pPr>
      <w:ind w:left="283" w:right="0" w:firstLine="0"/>
      <w:spacing w:after="57"/>
    </w:pPr>
  </w:style>
  <w:style w:type="paragraph" w:styleId="832">
    <w:name w:val="toc 3"/>
    <w:basedOn w:val="841"/>
    <w:next w:val="841"/>
    <w:uiPriority w:val="39"/>
    <w:unhideWhenUsed/>
    <w:pPr>
      <w:ind w:left="567" w:right="0" w:firstLine="0"/>
      <w:spacing w:after="57"/>
    </w:pPr>
  </w:style>
  <w:style w:type="paragraph" w:styleId="833">
    <w:name w:val="toc 4"/>
    <w:basedOn w:val="841"/>
    <w:next w:val="841"/>
    <w:uiPriority w:val="39"/>
    <w:unhideWhenUsed/>
    <w:pPr>
      <w:ind w:left="850" w:right="0" w:firstLine="0"/>
      <w:spacing w:after="57"/>
    </w:pPr>
  </w:style>
  <w:style w:type="paragraph" w:styleId="834">
    <w:name w:val="toc 5"/>
    <w:basedOn w:val="841"/>
    <w:next w:val="841"/>
    <w:uiPriority w:val="39"/>
    <w:unhideWhenUsed/>
    <w:pPr>
      <w:ind w:left="1134" w:right="0" w:firstLine="0"/>
      <w:spacing w:after="57"/>
    </w:pPr>
  </w:style>
  <w:style w:type="paragraph" w:styleId="835">
    <w:name w:val="toc 6"/>
    <w:basedOn w:val="841"/>
    <w:next w:val="841"/>
    <w:uiPriority w:val="39"/>
    <w:unhideWhenUsed/>
    <w:pPr>
      <w:ind w:left="1417" w:right="0" w:firstLine="0"/>
      <w:spacing w:after="57"/>
    </w:pPr>
  </w:style>
  <w:style w:type="paragraph" w:styleId="836">
    <w:name w:val="toc 7"/>
    <w:basedOn w:val="841"/>
    <w:next w:val="841"/>
    <w:uiPriority w:val="39"/>
    <w:unhideWhenUsed/>
    <w:pPr>
      <w:ind w:left="1701" w:right="0" w:firstLine="0"/>
      <w:spacing w:after="57"/>
    </w:pPr>
  </w:style>
  <w:style w:type="paragraph" w:styleId="837">
    <w:name w:val="toc 8"/>
    <w:basedOn w:val="841"/>
    <w:next w:val="841"/>
    <w:uiPriority w:val="39"/>
    <w:unhideWhenUsed/>
    <w:pPr>
      <w:ind w:left="1984" w:right="0" w:firstLine="0"/>
      <w:spacing w:after="57"/>
    </w:pPr>
  </w:style>
  <w:style w:type="paragraph" w:styleId="838">
    <w:name w:val="toc 9"/>
    <w:basedOn w:val="841"/>
    <w:next w:val="841"/>
    <w:uiPriority w:val="39"/>
    <w:unhideWhenUsed/>
    <w:pPr>
      <w:ind w:left="2268" w:right="0" w:firstLine="0"/>
      <w:spacing w:after="57"/>
    </w:pPr>
  </w:style>
  <w:style w:type="paragraph" w:styleId="839">
    <w:name w:val="TOC Heading"/>
    <w:uiPriority w:val="39"/>
    <w:unhideWhenUsed/>
  </w:style>
  <w:style w:type="paragraph" w:styleId="840">
    <w:name w:val="table of figures"/>
    <w:basedOn w:val="841"/>
    <w:next w:val="841"/>
    <w:uiPriority w:val="99"/>
    <w:unhideWhenUsed/>
    <w:pPr>
      <w:spacing w:after="0" w:afterAutospacing="0"/>
    </w:pPr>
  </w:style>
  <w:style w:type="paragraph" w:styleId="841" w:default="1">
    <w:name w:val="Normal"/>
    <w:qFormat/>
    <w:pPr>
      <w:jc w:val="both"/>
      <w:spacing w:after="0" w:line="240" w:lineRule="auto"/>
    </w:pPr>
    <w:rPr>
      <w:rFonts w:ascii="Calibri" w:hAnsi="Calibri" w:cs="Calibri"/>
      <w:sz w:val="21"/>
      <w:szCs w:val="21"/>
    </w:rPr>
  </w:style>
  <w:style w:type="paragraph" w:styleId="842">
    <w:name w:val="Heading 2"/>
    <w:basedOn w:val="841"/>
    <w:next w:val="841"/>
    <w:link w:val="847"/>
    <w:uiPriority w:val="9"/>
    <w:unhideWhenUsed/>
    <w:qFormat/>
    <w:pPr>
      <w:keepLines/>
      <w:keepNext/>
      <w:spacing w:before="40"/>
      <w:outlineLvl w:val="1"/>
    </w:pPr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paragraph" w:styleId="843">
    <w:name w:val="Heading 3"/>
    <w:basedOn w:val="841"/>
    <w:next w:val="841"/>
    <w:link w:val="848"/>
    <w:uiPriority w:val="9"/>
    <w:unhideWhenUsed/>
    <w:qFormat/>
    <w:pPr>
      <w:keepLines/>
      <w:keepNext/>
      <w:spacing w:before="40"/>
      <w:outlineLvl w:val="2"/>
    </w:pPr>
    <w:rPr>
      <w:rFonts w:asciiTheme="majorHAnsi" w:hAnsiTheme="majorHAnsi" w:eastAsiaTheme="majorEastAsia" w:cstheme="majorBidi"/>
      <w:color w:val="1f4e79" w:themeColor="accent1" w:themeShade="80"/>
      <w:sz w:val="24"/>
      <w:szCs w:val="24"/>
    </w:rPr>
  </w:style>
  <w:style w:type="character" w:styleId="844" w:default="1">
    <w:name w:val="Default Paragraph Font"/>
    <w:uiPriority w:val="1"/>
    <w:semiHidden/>
    <w:unhideWhenUsed/>
  </w:style>
  <w:style w:type="table" w:styleId="84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6" w:default="1">
    <w:name w:val="No List"/>
    <w:uiPriority w:val="99"/>
    <w:semiHidden/>
    <w:unhideWhenUsed/>
  </w:style>
  <w:style w:type="character" w:styleId="847" w:customStyle="1">
    <w:name w:val="Заголовок 2 Знак"/>
    <w:basedOn w:val="844"/>
    <w:link w:val="842"/>
    <w:uiPriority w:val="9"/>
    <w:qFormat/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character" w:styleId="848" w:customStyle="1">
    <w:name w:val="Заголовок 3 Знак"/>
    <w:basedOn w:val="844"/>
    <w:link w:val="843"/>
    <w:uiPriority w:val="9"/>
    <w:qFormat/>
    <w:rPr>
      <w:rFonts w:asciiTheme="majorHAnsi" w:hAnsiTheme="majorHAnsi" w:eastAsiaTheme="majorEastAsia" w:cstheme="majorBidi"/>
      <w:color w:val="1f4e79" w:themeColor="accent1" w:themeShade="80"/>
      <w:sz w:val="24"/>
      <w:szCs w:val="24"/>
    </w:rPr>
  </w:style>
  <w:style w:type="character" w:styleId="849" w:customStyle="1">
    <w:name w:val="jlqj4b"/>
    <w:basedOn w:val="844"/>
    <w:qFormat/>
  </w:style>
  <w:style w:type="paragraph" w:styleId="850">
    <w:name w:val="List Paragraph"/>
    <w:basedOn w:val="841"/>
    <w:uiPriority w:val="34"/>
    <w:qFormat/>
    <w:pPr>
      <w:contextualSpacing/>
      <w:ind w:left="720"/>
    </w:pPr>
  </w:style>
  <w:style w:type="paragraph" w:styleId="851" w:customStyle="1">
    <w:name w:val="Body Text First Indent 21"/>
    <w:basedOn w:val="841"/>
    <w:qFormat/>
    <w:pPr>
      <w:ind w:firstLine="420"/>
      <w:spacing w:before="100" w:beforeAutospacing="1"/>
      <w:widowControl w:val="off"/>
    </w:pPr>
    <w:rPr>
      <w:rFonts w:eastAsia="SimSun" w:asciiTheme="minorHAnsi" w:hAnsiTheme="minorHAnsi"/>
      <w:sz w:val="32"/>
      <w:szCs w:val="24"/>
      <w:lang w:val="en-US"/>
    </w:rPr>
  </w:style>
  <w:style w:type="paragraph" w:styleId="852">
    <w:name w:val="Header"/>
    <w:basedOn w:val="841"/>
    <w:link w:val="85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53" w:customStyle="1">
    <w:name w:val="Верхний колонтитул Знак"/>
    <w:basedOn w:val="844"/>
    <w:link w:val="852"/>
    <w:uiPriority w:val="99"/>
    <w:rPr>
      <w:rFonts w:ascii="Calibri" w:hAnsi="Calibri" w:cs="Calibri"/>
      <w:sz w:val="21"/>
      <w:szCs w:val="21"/>
    </w:rPr>
  </w:style>
  <w:style w:type="paragraph" w:styleId="854">
    <w:name w:val="Footer"/>
    <w:basedOn w:val="841"/>
    <w:link w:val="85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55" w:customStyle="1">
    <w:name w:val="Нижний колонтитул Знак"/>
    <w:basedOn w:val="844"/>
    <w:link w:val="854"/>
    <w:uiPriority w:val="99"/>
    <w:rPr>
      <w:rFonts w:ascii="Calibri" w:hAnsi="Calibri" w:cs="Calibri"/>
      <w:sz w:val="21"/>
      <w:szCs w:val="21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https://investugra.ru/about/investment-climate/municipality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HP Inc.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Шалдёнков Александр Вадимович</dc:creator>
  <cp:keywords/>
  <dc:description/>
  <cp:revision>18</cp:revision>
  <dcterms:created xsi:type="dcterms:W3CDTF">2023-07-28T09:35:00Z</dcterms:created>
  <dcterms:modified xsi:type="dcterms:W3CDTF">2024-09-13T04:32:34Z</dcterms:modified>
</cp:coreProperties>
</file>