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Приложение 6 к протоколу</w:t>
      </w:r>
      <w:r>
        <w:rPr>
          <w:highlight w:val="none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Совета по вопросам развития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инвестиционной деятельности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в городе Нижневартовске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от 12.09.2024 №44</w:t>
      </w:r>
      <w:r>
        <w:rPr>
          <w:rFonts w:ascii="Times New Roman" w:hAnsi="Times New Roman" w:eastAsia="Times New Roman" w:cs="Times New Roman"/>
          <w:b/>
          <w:bCs/>
          <w:sz w:val="28"/>
          <w:szCs w:val="27"/>
          <w:highlight w:val="none"/>
          <w:lang w:eastAsia="ru-RU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ind w:left="0" w:right="0" w:firstLine="709"/>
        <w:jc w:val="left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t xml:space="preserve">О внедрении и реализации лучших практик в сфере развития инвестиционной и предпринимательской деятельности 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bCs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t xml:space="preserve">(инициатив, идей) в 2023-2024 гг.</w:t>
      </w:r>
      <w:r>
        <w:rPr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10"/>
        </w:rPr>
      </w:pPr>
      <w:r>
        <w:rPr>
          <w:rFonts w:ascii="Times New Roman" w:hAnsi="Times New Roman" w:cs="Times New Roman"/>
          <w:sz w:val="10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sz w:val="10"/>
        </w:rPr>
      </w:r>
    </w:p>
    <w:p>
      <w:pPr>
        <w:pStyle w:val="850"/>
        <w:numPr>
          <w:ilvl w:val="0"/>
          <w:numId w:val="0"/>
        </w:numPr>
        <w:ind w:left="0" w:right="0" w:firstLine="0"/>
        <w:jc w:val="both"/>
        <w:spacing w:before="0" w:after="0" w:line="240" w:lineRule="auto"/>
        <w:widowControl/>
        <w:tabs>
          <w:tab w:val="left" w:pos="367" w:leader="none"/>
        </w:tabs>
        <w:rPr>
          <w:rFonts w:ascii="Times New Roman" w:hAnsi="Times New Roman" w:cs="Times New Roman"/>
          <w:color w:val="auto"/>
        </w:rPr>
        <w:outlineLvl w:val="1"/>
      </w:pPr>
      <w:r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</w:r>
      <w:r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ab/>
        <w:tab/>
      </w:r>
      <w:r>
        <w:rPr>
          <w:rFonts w:ascii="Times New Roman" w:hAnsi="Times New Roman" w:cs="Times New Roman"/>
          <w:color w:val="auto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 xml:space="preserve">1. Информация</w:t>
      </w:r>
      <w:r>
        <w:rPr>
          <w:rFonts w:ascii="Times New Roman" w:hAnsi="Times New Roman" w:cs="Times New Roman"/>
          <w:bCs/>
          <w:i w:val="0"/>
          <w:iCs w:val="0"/>
          <w:sz w:val="28"/>
          <w:szCs w:val="28"/>
        </w:rPr>
        <w:t xml:space="preserve"> департамента экономического развития администрации города.</w:t>
      </w:r>
      <w:r>
        <w:rPr>
          <w:i w:val="0"/>
          <w:iCs w:val="0"/>
        </w:rPr>
      </w:r>
      <w:r>
        <w:rPr>
          <w:rFonts w:ascii="Times New Roman" w:hAnsi="Times New Roman" w:cs="Times New Roman"/>
          <w:bCs w:val="0"/>
          <w:i w:val="0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участия в разработке и реализации лучших практик (инициатив, идей) в сфере развития инвестиционной </w:t>
        <w:br/>
        <w:t xml:space="preserve">и предпринимательской деятельности департамент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 </w:t>
      </w:r>
      <w:r>
        <w:rPr>
          <w:rFonts w:ascii="Times New Roman" w:hAnsi="Times New Roman" w:cs="Times New Roman"/>
          <w:sz w:val="28"/>
          <w:szCs w:val="28"/>
        </w:rPr>
        <w:t xml:space="preserve">регулярно принимает участие </w:t>
      </w:r>
      <w:r>
        <w:rPr>
          <w:rFonts w:ascii="Times New Roman" w:hAnsi="Times New Roman" w:cs="Times New Roman"/>
          <w:sz w:val="28"/>
          <w:szCs w:val="28"/>
        </w:rPr>
        <w:t xml:space="preserve">в различных конкурсах                  в рамках компетенции.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Так, муниципальные служащие департамента ежегодно принимают участие в региональном конкурсе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Лучшие проекты (практики) </w:t>
        <w:br/>
        <w:t xml:space="preserve">по функционированию системы антимонопольного комплаенса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Депэкономики Югры. </w:t>
      </w: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конкурс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был представлен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проект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Нейросеть как цифровой ассистент в работе комплаенс-офицера".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Основная идея - </w:t>
      </w:r>
      <w:r>
        <w:rPr>
          <w:rFonts w:ascii="Times New Roman" w:hAnsi="Times New Roman"/>
          <w:sz w:val="28"/>
          <w:szCs w:val="28"/>
        </w:rPr>
        <w:t xml:space="preserve">моделирование и выявление рисков нарушения антимонопольного законодательства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основе искусственного интеллекта, путем создания алгоритма для виртуального помощника-ассистента на базе технологий искусственного интеллекта, позволяющего принимать решения разного уровня сложности: от справочных до прогнозно-аналитических.</w:t>
      </w:r>
      <w:r>
        <w:rPr>
          <w:rFonts w:ascii="Times New Roman" w:hAnsi="Times New Roman"/>
          <w:sz w:val="28"/>
          <w:szCs w:val="28"/>
        </w:rPr>
        <w:t xml:space="preserve"> </w:t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итогам конкурса за 202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проект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город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Нижневартовск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занял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место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среди муниципальных образований, принявших участие в конкурсе.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Verdana" w:hAnsi="Verdana"/>
          <w:b w:val="0"/>
          <w:bCs w:val="0"/>
          <w:sz w:val="28"/>
          <w:szCs w:val="28"/>
          <w:highlight w:val="none"/>
        </w:rPr>
      </w:pPr>
      <w:r>
        <w:rPr>
          <w:rFonts w:ascii="Verdana" w:hAnsi="Verdana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Депэкономики Югры проведен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ежегодн</w:t>
      </w:r>
      <w:r>
        <w:rPr>
          <w:rFonts w:ascii="Times New Roman" w:hAnsi="Times New Roman" w:cs="Times New Roman"/>
          <w:sz w:val="28"/>
          <w:szCs w:val="28"/>
        </w:rPr>
        <w:t xml:space="preserve">ые</w:t>
      </w:r>
      <w:r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Изучая право – развиваем конкуренцию!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</w:t>
      </w:r>
      <w:r>
        <w:rPr>
          <w:rFonts w:ascii="Verdana" w:hAnsi="Verdana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Verdana" w:hAnsi="Verdana"/>
          <w:b w:val="0"/>
          <w:bCs w:val="0"/>
          <w:sz w:val="28"/>
          <w:szCs w:val="28"/>
          <w:highlight w:val="none"/>
        </w:rPr>
      </w:r>
      <w:r>
        <w:rPr>
          <w:rFonts w:ascii="Verdana" w:hAnsi="Verdana"/>
          <w:b w:val="0"/>
          <w:bCs w:val="0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Акци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тся в целях привлечения наибольшего количества заинтересованных лиц к вопросу выявления возможных рисков нарушения антимонопольного законодательства в действующих нормативных правовых актах автономного округа.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Verdana" w:hAnsi="Verdana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участия в акци</w:t>
      </w:r>
      <w:r>
        <w:rPr>
          <w:rFonts w:ascii="Times New Roman" w:hAnsi="Times New Roman" w:cs="Times New Roman"/>
          <w:sz w:val="28"/>
          <w:szCs w:val="28"/>
        </w:rPr>
        <w:t xml:space="preserve">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два года подряд признан победителем.</w:t>
      </w:r>
      <w:r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  <w:highlight w:val="none"/>
        </w:rPr>
      </w:r>
      <w:r>
        <w:rPr>
          <w:rFonts w:ascii="Verdana" w:hAnsi="Verdana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Verdana" w:hAnsi="Verdana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Кроме того, в рамках доклада об антимонопольном комплаенсе за 2023 год Депэкономики Югры город Нижневартовск отмечен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высоким </w:t>
      </w:r>
      <w:r>
        <w:rPr>
          <w:rFonts w:ascii="Times New Roman" w:hAnsi="Times New Roman" w:cs="Times New Roman"/>
          <w:sz w:val="28"/>
          <w:szCs w:val="28"/>
        </w:rPr>
        <w:t xml:space="preserve">уровнем функционирования антимонопольного законодательства в деятельности органов местного самоуправления муниципальных образований Ханты-Мансийского автономного округа – Югры.</w:t>
      </w:r>
      <w:r>
        <w:rPr>
          <w:rFonts w:ascii="Verdana" w:hAnsi="Verdana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2023 году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город Нижневартовск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участвовал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 Всероссийском конкурсе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"Лучшая муниципальная практика"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номинации "М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униципальная экономическая политика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управление муниципальными финансами"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  <w:br/>
        <w:t xml:space="preserve">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муниципальной практикой по направлению: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"Субсидирование затрат </w:t>
        <w:br/>
        <w:t xml:space="preserve">на приобретение сырья для производства продуктов питания"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Целью муниципальной практики является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обеспечение прироста объемов и реализации продукции собственного производства, а также развитие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предпринимательских инициатив.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результате реализации представленной практики наблюдается наращивание объемов производства, открытие новых филиалов, расширение рынка сбыта готовой продукции, а также не мало важным показателем является увеличение количества рабочих мест.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Муниципальная практика города Нижневартовска отмечена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благодарственным письмом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Правительства Ханты-Мансийского автономного округа - Югры за эффективное стимулирование развития местных товаропроизводителей.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Справочно. 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Ф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инансов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ую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поддержк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у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в виде возмещение затрат на сырье за период с 2019 по 2024 год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в рамках муниципальной программы "Развитие малого и среднего предпринимательства на территории города Нижневартовска" получили 59 предпринимател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ей города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на общую сумму 15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 575,14 тыс. рублей: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-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2024 год – 10 Субъектов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на сумму 2 767,0 тыс. рублей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, 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-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2023 год – 15 Субъектов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на сумму 4 500,0 тыс. рублей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, 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-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2022 год – 17 Субъектов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на сумму 4 752,21 тыс. рублей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, 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-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2021 год – 6 Субъектов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на сумму 1 677,88 тыс. рублей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, 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-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2020 год -  9 Субъектов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на сумму 1 737,31 тыс. рублей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, 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-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2019 год – 2 Субъекта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на сумму 140,74 тыс. рублей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.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В 2023 году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плановое финансирование по данному направлению составило 2 400,0 тыс.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рублей (получили поддержку 8 Субъектов), выделено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дополнительное финансирование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из бюджета города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в размере 2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 100,0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 тыс. рублей, что позволило оказать финансовую поддержку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еще 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7 Субъектам. </w:t>
      </w:r>
      <w:r>
        <w:rPr>
          <w:rFonts w:ascii="Times New Roman" w:hAnsi="Times New Roman" w:eastAsia="Times New Roman" w:cs="Times New Roman"/>
          <w:i/>
          <w:sz w:val="24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Verdana" w:hAnsi="Verdana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В 2024 году планов</w:t>
      </w:r>
      <w:r>
        <w:rPr>
          <w:rFonts w:ascii="Times New Roman" w:hAnsi="Times New Roman" w:eastAsia="Times New Roman" w:cs="Times New Roman"/>
          <w:i/>
          <w:sz w:val="24"/>
          <w:szCs w:val="28"/>
        </w:rPr>
        <w:t xml:space="preserve">ое финансирование по данному направлению составило 2 767,0 тыс. рублей (получили поддержку 10 Субъектов), запрошено дополнительное финансирование из бюджета города в размере 3 628,89 тыс. рублей, что позволит оказать финансовую поддержку еще 13 Субъектам.</w:t>
      </w:r>
      <w:r>
        <w:rPr>
          <w:rFonts w:ascii="Verdana" w:hAnsi="Verdana"/>
          <w:sz w:val="28"/>
          <w:szCs w:val="28"/>
          <w:highlight w:val="none"/>
        </w:rPr>
      </w:r>
      <w:r>
        <w:rPr>
          <w:rFonts w:ascii="Verdana" w:hAnsi="Verdana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2024 году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город Нижневартовск принял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участие в конкурсе </w:t>
        <w:br/>
        <w:t xml:space="preserve">с муниципальной практикой по направлению: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"Грантовая поддержка молодых и начинающих предпринимателей города Нижневартовска".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Гранты начинающим и молодым предпринимателям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предоставляются </w:t>
        <w:br/>
        <w:t xml:space="preserve">с целью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открытия нового бизнеса,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реализации современных идей </w:t>
        <w:br/>
        <w:t xml:space="preserve">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инновационных производств при минимальных финансовых ресурсах предпринимателя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После заочного заседания конкурсной комиссии по проведению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регионального этапа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 конкурса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 данная практика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заняла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 место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а также направлена в федеральную конкурсную комиссию по организации и проведению Конкурса по номинации "Муниципальная экономическая политика и управление муниципальными финансами".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Стоит отметить, что размер средств бюджета на гранты начинающим предпринимателям города в 2023 году был увеличен с 1,5 млн. руб. до 3,5 млн. руб., что позволило в 2023 году оказать 7 индивидуальным предпринимателям грантовую поддержку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(по 500 тыс. рублей при условии софинансирования предпринимателем не менее 15% от суммы гранта)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, в то время как в 2022 году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гранты получили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только трое предпринимателей.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Справочно.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В период с 2018 по 2023 год администрацией города Нижневартовска предоставлены гранты в виде субсидий на поддержку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22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 субъектам малого и среднего предпринимательства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на общую сумму 9 399,52 тыс. рублей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(в том числе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18 Субъектов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 осуществляют предпринимательскую деятельность на 01.09.2024), в том числе: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в 2018 году –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 4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 победителя на общую сумму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1 2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00,00 тыс. рублей;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в 2019 году -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 победителя на общую сумму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1 2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00,00 тыс. рублей;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в 2021 году -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 победителя на общую сумму 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 000,00 тыс. рублей;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в 2022 году - 3 победителя на общую сумму 1 500,00 тыс. рублей;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  <w:t xml:space="preserve">в 2023 году - 7 победителей на общую сумму 3 499,52 тыс. рублей.</w:t>
      </w:r>
      <w:r>
        <w:rPr>
          <w:rFonts w:ascii="Times New Roman" w:hAnsi="Times New Roman" w:eastAsia="Times New Roman"/>
          <w:bCs/>
          <w:i/>
          <w:sz w:val="24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Verdana" w:hAnsi="Verdana"/>
          <w:sz w:val="28"/>
          <w:szCs w:val="28"/>
          <w:highlight w:val="none"/>
        </w:rPr>
      </w:r>
      <w:r>
        <w:rPr>
          <w:rFonts w:ascii="Verdana" w:hAnsi="Verdana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numPr>
          <w:ilvl w:val="0"/>
          <w:numId w:val="0"/>
        </w:numPr>
        <w:ind w:left="0" w:right="0" w:firstLine="0"/>
        <w:jc w:val="both"/>
        <w:spacing w:before="0" w:after="0" w:line="240" w:lineRule="auto"/>
        <w:widowControl/>
        <w:tabs>
          <w:tab w:val="left" w:pos="367" w:leader="none"/>
        </w:tabs>
        <w:outlineLvl w:val="1"/>
      </w:pPr>
      <w:r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ab/>
        <w:tab/>
        <w:t xml:space="preserve">2. Информация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  <w:highlight w:val="none"/>
        </w:rPr>
        <w:t xml:space="preserve">департамента по социальной политике администрации города.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  <w:highlight w:val="none"/>
        </w:rPr>
        <w:t xml:space="preserve"> </w:t>
      </w:r>
      <w:r/>
    </w:p>
    <w:p>
      <w:pPr>
        <w:contextualSpacing w:val="0"/>
        <w:ind w:left="0" w:right="0" w:firstLine="709"/>
        <w:jc w:val="both"/>
        <w:spacing w:before="0" w:after="0"/>
        <w:suppressLineNumbers w:val="0"/>
      </w:pPr>
      <w:r>
        <w:rPr>
          <w:rFonts w:ascii="Times New Roman" w:hAnsi="Times New Roman" w:cs="Times New Roman"/>
          <w:bCs/>
          <w:sz w:val="28"/>
          <w:szCs w:val="28"/>
        </w:rPr>
        <w:t xml:space="preserve">Нижневартовск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2023 году стал лауреатом Всероссийского конкурса среди муниципальных образований на лучшую муниципальную практику </w:t>
        <w:br/>
        <w:t xml:space="preserve">в сфере физической культуры и массового спорта в номинации "Лучшая муниципальная практика в сфере физической культуры и массового спорта". </w:t>
      </w:r>
      <w:r>
        <w:rPr>
          <w:rFonts w:ascii="Times New Roman" w:hAnsi="Times New Roman" w:cs="Times New Roman"/>
        </w:rPr>
      </w:r>
      <w:r/>
    </w:p>
    <w:p>
      <w:pPr>
        <w:contextualSpacing w:val="0"/>
        <w:ind w:firstLine="708"/>
        <w:jc w:val="both"/>
        <w:spacing w:before="0" w:after="0"/>
        <w:suppressLineNumbers w:val="0"/>
      </w:pP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На конкурс был представлен </w:t>
      </w:r>
      <w:r>
        <w:rPr>
          <w:rFonts w:ascii="Times New Roman" w:hAnsi="Times New Roman" w:cs="Times New Roman" w:eastAsiaTheme="minorHAnsi"/>
          <w:b w:val="0"/>
          <w:bCs w:val="0"/>
          <w:color w:val="000000"/>
          <w:sz w:val="28"/>
          <w:szCs w:val="28"/>
        </w:rPr>
        <w:t xml:space="preserve">проект "Спортзал без крыши"</w:t>
      </w:r>
      <w:r>
        <w:rPr>
          <w:rFonts w:ascii="Times New Roman" w:hAnsi="Times New Roman" w:cs="Times New Roman" w:eastAsiaTheme="minorHAnsi"/>
          <w:b w:val="0"/>
          <w:bCs w:val="0"/>
          <w:color w:val="000000"/>
          <w:sz w:val="28"/>
          <w:szCs w:val="28"/>
        </w:rPr>
        <w:t xml:space="preserve">,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 который реализуется в нашем городе с 2018 года и включает в себя 13 подпроектов, направленных на разные возрастные категории.</w:t>
      </w:r>
      <w:r>
        <w:rPr>
          <w:rFonts w:ascii="Times New Roman" w:hAnsi="Times New Roman" w:cs="Times New Roman"/>
        </w:rPr>
      </w:r>
      <w:r/>
    </w:p>
    <w:p>
      <w:pPr>
        <w:contextualSpacing w:val="0"/>
        <w:ind w:firstLine="708"/>
        <w:jc w:val="both"/>
        <w:spacing w:before="0" w:after="0"/>
        <w:suppressLineNumbers w:val="0"/>
      </w:pPr>
      <w:r>
        <w:rPr>
          <w:rFonts w:ascii="Times New Roman" w:hAnsi="Times New Roman" w:cs="Times New Roman" w:eastAsiaTheme="minorHAnsi"/>
          <w:bCs/>
          <w:color w:val="000000"/>
          <w:sz w:val="28"/>
          <w:szCs w:val="28"/>
        </w:rPr>
        <w:t xml:space="preserve">Уникальность данной практики: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 круглогодичность, малозатратность, универсальность применения на любой территории, для разных целевых групп (граждан старшего возраста, лиц с ограниченными возможностями здоровья 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br/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и инвалидов, детей и подростков и др.).</w:t>
      </w:r>
      <w:r>
        <w:rPr>
          <w:rFonts w:ascii="Times New Roman" w:hAnsi="Times New Roman" w:cs="Times New Roman"/>
        </w:rPr>
      </w:r>
      <w:r/>
    </w:p>
    <w:p>
      <w:pPr>
        <w:contextualSpacing w:val="0"/>
        <w:ind w:firstLine="708"/>
        <w:jc w:val="both"/>
        <w:spacing w:before="0" w:after="0"/>
        <w:suppressLineNumbers w:val="0"/>
      </w:pP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Спортзал без крыши – это комплексный подход и межведомственное взаимодействие органов местного самоуправления, спортивных школ, 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br/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фитнес-центров, федераций спорта.</w:t>
      </w:r>
      <w:r>
        <w:rPr>
          <w:rFonts w:ascii="Times New Roman" w:hAnsi="Times New Roman" w:cs="Times New Roman"/>
        </w:rPr>
      </w:r>
      <w:r/>
    </w:p>
    <w:p>
      <w:pPr>
        <w:contextualSpacing w:val="0"/>
        <w:ind w:firstLine="709"/>
        <w:jc w:val="both"/>
        <w:spacing w:before="0" w:after="0"/>
        <w:suppressLineNumbers w:val="0"/>
      </w:pP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Основная цель проекта - увеличение количества систематически занимающихся физической культурой и спортом. </w:t>
      </w:r>
      <w:r>
        <w:rPr>
          <w:rFonts w:ascii="Times New Roman" w:hAnsi="Times New Roman" w:cs="Times New Roman"/>
        </w:rPr>
      </w:r>
      <w:r/>
    </w:p>
    <w:p>
      <w:pPr>
        <w:contextualSpacing w:val="0"/>
        <w:ind w:firstLine="567"/>
        <w:jc w:val="both"/>
        <w:spacing w:before="0" w:after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 xml:space="preserve">Комплексный подход в реализации проекта "Спортзал без крыши" позволяет максимально привлечь </w:t>
      </w:r>
      <w:r>
        <w:rPr>
          <w:rFonts w:ascii="Times New Roman" w:hAnsi="Times New Roman" w:cs="Times New Roman"/>
          <w:sz w:val="28"/>
          <w:szCs w:val="28"/>
        </w:rPr>
        <w:t xml:space="preserve">все возрастные группы и категории населения города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физкультурно-оздоровительному движению, а также повысить качество проводимых спортивно-массовых мероприятий. Также решаются такие важные задачи, как содействие обеспечению развития физической культуры и спорта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месту жительства, улучшение информационной обеспеченности, усиление пропаганды физической культуры и спорта и здорового образа жизни.</w:t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both"/>
        <w:spacing w:before="0" w:after="0"/>
        <w:tabs>
          <w:tab w:val="left" w:pos="709" w:leader="none"/>
        </w:tabs>
        <w:pBdr>
          <w:top w:val="none" w:color="000000" w:sz="4" w:space="0"/>
          <w:left w:val="none" w:color="000000" w:sz="4" w:space="0"/>
          <w:bottom w:val="none" w:color="000000" w:sz="4" w:space="3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ab/>
        <w:t xml:space="preserve">В рамках работы с фитнес-центрами при реализации данного проекта, ежегодно в рамках летней оздоровительной кампании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проводится более 200 совместных физкультурно-оздоровительных мероприятий,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открытых тренировок,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мастер-классов, направленных на пропаганду здорового образа жизни и вовлечение населения города всех возрастных групп. Предоставляется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площадка, звуковое оборудование для проведения мероприятий, привлекаются фитнес-инструкторы, фитнес-центры организуют работу спортинструкторов </w:t>
        <w:br/>
        <w:t xml:space="preserve">по разным спортивным направлениям,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также предоставляют спортивный инвентарь.</w:t>
      </w:r>
      <w:r>
        <w:rPr>
          <w:rFonts w:ascii="Times New Roman" w:hAnsi="Times New Roman" w:cs="Times New Roman"/>
        </w:rPr>
      </w:r>
      <w:r/>
    </w:p>
    <w:p>
      <w:pPr>
        <w:contextualSpacing w:val="0"/>
        <w:ind w:firstLine="567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3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color w:val="000000"/>
          <w:sz w:val="28"/>
          <w:szCs w:val="28"/>
          <w:shd w:val="clear" w:color="auto" w:fill="ffffff"/>
        </w:rPr>
        <w:t xml:space="preserve">Победа во Всероссийском конкурсе на лучшую муниципальную практику </w:t>
      </w:r>
      <w:r>
        <w:rPr>
          <w:rFonts w:ascii="Times New Roman" w:hAnsi="Times New Roman" w:cs="Times New Roman" w:eastAsiaTheme="minorHAnsi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 w:eastAsiaTheme="minorHAnsi"/>
          <w:color w:val="000000"/>
          <w:sz w:val="28"/>
          <w:szCs w:val="28"/>
          <w:shd w:val="clear" w:color="auto" w:fill="ffffff"/>
        </w:rPr>
        <w:t xml:space="preserve">в сфере физкультуры и спорта - отличное достижение, и подтверждение того, </w:t>
      </w:r>
      <w:r>
        <w:rPr>
          <w:rFonts w:ascii="Times New Roman" w:hAnsi="Times New Roman" w:cs="Times New Roman" w:eastAsiaTheme="minorHAnsi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что Нижневартовск - город спорта. 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/>
    </w:p>
    <w:p>
      <w:pPr>
        <w:contextualSpacing w:val="0"/>
        <w:ind w:left="0" w:right="0" w:firstLine="709"/>
        <w:jc w:val="both"/>
        <w:spacing w:before="0" w:after="0"/>
        <w:rPr>
          <w:rFonts w:ascii="Times New Roman" w:hAnsi="Times New Roman" w:cs="Times New Roman"/>
          <w:bCs/>
          <w:i/>
          <w:color w:val="auto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Ежегодно "Спортзал без крыши" совершенствуется</w:t>
      </w:r>
      <w:r>
        <w:rPr>
          <w:rFonts w:ascii="Times New Roman" w:hAnsi="Times New Roman" w:cs="Times New Roman"/>
          <w:sz w:val="28"/>
          <w:szCs w:val="28"/>
        </w:rPr>
        <w:t xml:space="preserve"> с учетом потребностей, интересов и пожеланий жителей нашего города, закупается новый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современный спортивный инвентарь и настольные игры, охватываются новые территории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микрорайонах города, приглашаются фитнес-центры </w:t>
        <w:br/>
        <w:t xml:space="preserve">с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востребованными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разнообразными направлениями в спорте. Таким образом  увеличивается количество мероприятий и качество их проведения.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bCs/>
          <w:i/>
          <w:color w:val="auto"/>
          <w:sz w:val="28"/>
          <w:szCs w:val="28"/>
          <w:highlight w:val="non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964" w:right="567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07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0"/>
    <w:next w:val="850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51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0"/>
    <w:next w:val="850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51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51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51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51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51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51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51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0"/>
    <w:next w:val="85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5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0"/>
    <w:next w:val="850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51"/>
    <w:link w:val="693"/>
    <w:uiPriority w:val="10"/>
    <w:rPr>
      <w:sz w:val="48"/>
      <w:szCs w:val="48"/>
    </w:rPr>
  </w:style>
  <w:style w:type="paragraph" w:styleId="695">
    <w:name w:val="Subtitle"/>
    <w:basedOn w:val="850"/>
    <w:next w:val="850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51"/>
    <w:link w:val="695"/>
    <w:uiPriority w:val="11"/>
    <w:rPr>
      <w:sz w:val="24"/>
      <w:szCs w:val="24"/>
    </w:rPr>
  </w:style>
  <w:style w:type="paragraph" w:styleId="697">
    <w:name w:val="Quote"/>
    <w:basedOn w:val="850"/>
    <w:next w:val="850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0"/>
    <w:next w:val="850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0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basedOn w:val="851"/>
    <w:link w:val="701"/>
    <w:uiPriority w:val="99"/>
  </w:style>
  <w:style w:type="paragraph" w:styleId="703">
    <w:name w:val="Footer"/>
    <w:basedOn w:val="850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51"/>
    <w:link w:val="703"/>
    <w:uiPriority w:val="99"/>
  </w:style>
  <w:style w:type="paragraph" w:styleId="705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7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8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9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0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1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2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1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1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paragraph" w:styleId="854">
    <w:name w:val="List Paragraph"/>
    <w:basedOn w:val="850"/>
    <w:uiPriority w:val="34"/>
    <w:qFormat/>
    <w:pPr>
      <w:contextualSpacing/>
      <w:ind w:left="720"/>
    </w:pPr>
  </w:style>
  <w:style w:type="paragraph" w:styleId="855">
    <w:name w:val="Normal (Web)"/>
    <w:basedOn w:val="85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6">
    <w:name w:val="Hyperlink"/>
    <w:basedOn w:val="851"/>
    <w:uiPriority w:val="99"/>
    <w:semiHidden/>
    <w:unhideWhenUsed/>
    <w:rPr>
      <w:color w:val="0000ff"/>
      <w:u w:val="single"/>
    </w:rPr>
  </w:style>
  <w:style w:type="paragraph" w:styleId="857">
    <w:name w:val="Balloon Text"/>
    <w:basedOn w:val="850"/>
    <w:link w:val="85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8" w:customStyle="1">
    <w:name w:val="Текст выноски Знак"/>
    <w:basedOn w:val="851"/>
    <w:link w:val="857"/>
    <w:uiPriority w:val="99"/>
    <w:semiHidden/>
    <w:rPr>
      <w:rFonts w:ascii="Segoe UI" w:hAnsi="Segoe UI" w:cs="Segoe UI"/>
      <w:sz w:val="18"/>
      <w:szCs w:val="18"/>
    </w:rPr>
  </w:style>
  <w:style w:type="character" w:styleId="859" w:customStyle="1">
    <w:name w:val="Основной текст с отступом Знак"/>
    <w:qFormat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328E7-2D05-412B-8928-4EE509005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Брыль Наталья Петровна</dc:creator>
  <cp:keywords/>
  <dc:description/>
  <cp:revision>158</cp:revision>
  <dcterms:created xsi:type="dcterms:W3CDTF">2022-06-03T10:38:00Z</dcterms:created>
  <dcterms:modified xsi:type="dcterms:W3CDTF">2024-09-13T05:22:29Z</dcterms:modified>
</cp:coreProperties>
</file>