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48" w:rsidRDefault="00D54348" w:rsidP="00F441C5">
      <w:pPr>
        <w:widowControl w:val="0"/>
        <w:suppressAutoHyphens/>
        <w:autoSpaceDE w:val="0"/>
        <w:jc w:val="both"/>
        <w:rPr>
          <w:b/>
          <w:bCs/>
          <w:color w:val="0070C0"/>
          <w:sz w:val="20"/>
          <w:szCs w:val="20"/>
          <w:u w:val="single"/>
        </w:rPr>
      </w:pPr>
    </w:p>
    <w:p w:rsidR="00D54348" w:rsidRPr="00D54348" w:rsidRDefault="00D54348" w:rsidP="00D54348">
      <w:pPr>
        <w:pStyle w:val="a9"/>
        <w:widowControl w:val="0"/>
        <w:suppressAutoHyphens/>
        <w:autoSpaceDE w:val="0"/>
        <w:ind w:left="1287"/>
        <w:contextualSpacing w:val="0"/>
        <w:jc w:val="right"/>
        <w:rPr>
          <w:bCs/>
          <w:sz w:val="28"/>
          <w:szCs w:val="28"/>
        </w:rPr>
      </w:pPr>
      <w:r w:rsidRPr="00D54348">
        <w:rPr>
          <w:bCs/>
          <w:sz w:val="28"/>
          <w:szCs w:val="28"/>
        </w:rPr>
        <w:t>Приложение</w:t>
      </w:r>
    </w:p>
    <w:p w:rsidR="00D54348" w:rsidRDefault="00D54348" w:rsidP="00D54348">
      <w:pPr>
        <w:pStyle w:val="a9"/>
        <w:widowControl w:val="0"/>
        <w:suppressAutoHyphens/>
        <w:autoSpaceDE w:val="0"/>
        <w:ind w:left="1287"/>
        <w:contextualSpacing w:val="0"/>
        <w:jc w:val="both"/>
        <w:rPr>
          <w:b/>
          <w:bCs/>
          <w:color w:val="0070C0"/>
          <w:sz w:val="20"/>
          <w:szCs w:val="20"/>
          <w:u w:val="single"/>
        </w:rPr>
      </w:pPr>
    </w:p>
    <w:p w:rsidR="00D54348" w:rsidRDefault="00D54348" w:rsidP="00D54348">
      <w:pPr>
        <w:pStyle w:val="a9"/>
        <w:widowControl w:val="0"/>
        <w:suppressAutoHyphens/>
        <w:autoSpaceDE w:val="0"/>
        <w:ind w:left="1287"/>
        <w:contextualSpacing w:val="0"/>
        <w:jc w:val="both"/>
        <w:rPr>
          <w:b/>
          <w:bCs/>
          <w:color w:val="0070C0"/>
          <w:sz w:val="20"/>
          <w:szCs w:val="20"/>
          <w:u w:val="single"/>
        </w:rPr>
      </w:pPr>
    </w:p>
    <w:p w:rsidR="00F441C5" w:rsidRPr="00F441C5" w:rsidRDefault="00F441C5" w:rsidP="00F441C5">
      <w:pPr>
        <w:pStyle w:val="a9"/>
        <w:widowControl w:val="0"/>
        <w:numPr>
          <w:ilvl w:val="0"/>
          <w:numId w:val="8"/>
        </w:numPr>
        <w:suppressAutoHyphens/>
        <w:autoSpaceDE w:val="0"/>
        <w:contextualSpacing w:val="0"/>
        <w:jc w:val="both"/>
        <w:rPr>
          <w:b/>
          <w:bCs/>
          <w:color w:val="0070C0"/>
          <w:sz w:val="20"/>
          <w:szCs w:val="20"/>
          <w:u w:val="single"/>
        </w:rPr>
      </w:pPr>
      <w:r w:rsidRPr="00F441C5">
        <w:rPr>
          <w:b/>
          <w:bCs/>
          <w:color w:val="0070C0"/>
          <w:sz w:val="20"/>
          <w:szCs w:val="20"/>
          <w:u w:val="single"/>
        </w:rPr>
        <w:t xml:space="preserve">ЭкспрессГарантии на электронных тендерных площадках Госзаказа </w:t>
      </w:r>
    </w:p>
    <w:p w:rsidR="00F441C5" w:rsidRPr="00F441C5" w:rsidRDefault="00F441C5" w:rsidP="00F441C5">
      <w:pPr>
        <w:pStyle w:val="a9"/>
        <w:ind w:left="1287"/>
        <w:jc w:val="both"/>
        <w:rPr>
          <w:b/>
          <w:bCs/>
          <w:color w:val="0070C0"/>
          <w:sz w:val="20"/>
          <w:szCs w:val="20"/>
          <w:u w:val="single"/>
        </w:rPr>
      </w:pPr>
      <w:r w:rsidRPr="00F441C5">
        <w:rPr>
          <w:b/>
          <w:bCs/>
          <w:color w:val="0070C0"/>
          <w:sz w:val="20"/>
          <w:szCs w:val="20"/>
          <w:u w:val="single"/>
        </w:rPr>
        <w:t>(44-ФЗ, 223-ФЗ, 185-ФЗ/615-ПП)</w:t>
      </w:r>
    </w:p>
    <w:p w:rsidR="00F441C5" w:rsidRPr="00F441C5" w:rsidRDefault="00F441C5" w:rsidP="00F441C5">
      <w:pPr>
        <w:ind w:firstLine="567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80"/>
      </w:tblGrid>
      <w:tr w:rsidR="00F441C5" w:rsidRPr="00F441C5" w:rsidTr="00E658C0">
        <w:trPr>
          <w:trHeight w:val="1138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Сумма лимита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до 250 000 000,00 руб.</w:t>
            </w:r>
          </w:p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 xml:space="preserve"> - максимальный размер отдельной банковской гарантии 100 млн. руб. (включительно)</w:t>
            </w:r>
          </w:p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 xml:space="preserve"> - в рамках лимита может быть выдано не более 150 млн. руб. крупных гарантий (более 50 млн. руб.)</w:t>
            </w:r>
          </w:p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 xml:space="preserve"> - по гарантиями на возврат аванса максимальный лимит до 10 млн. руб.</w:t>
            </w:r>
          </w:p>
        </w:tc>
      </w:tr>
      <w:tr w:rsidR="00F441C5" w:rsidRPr="00F441C5" w:rsidTr="00E658C0">
        <w:trPr>
          <w:trHeight w:val="835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Срок Банковских гарантий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87"/>
              </w:tabs>
              <w:suppressAutoHyphens/>
              <w:autoSpaceDE w:val="0"/>
              <w:ind w:left="337" w:hanging="142"/>
              <w:rPr>
                <w:sz w:val="20"/>
                <w:szCs w:val="20"/>
              </w:rPr>
            </w:pPr>
            <w:r w:rsidRPr="00F441C5">
              <w:rPr>
                <w:b/>
                <w:bCs/>
                <w:sz w:val="20"/>
                <w:szCs w:val="20"/>
              </w:rPr>
              <w:t>26 мес. (вкл.)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87"/>
              </w:tabs>
              <w:suppressAutoHyphens/>
              <w:autoSpaceDE w:val="0"/>
              <w:ind w:left="337" w:hanging="142"/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без ограничений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autoSpaceDE w:val="0"/>
              <w:ind w:left="337" w:hanging="142"/>
              <w:rPr>
                <w:sz w:val="20"/>
                <w:szCs w:val="20"/>
              </w:rPr>
            </w:pPr>
            <w:r w:rsidRPr="00F441C5">
              <w:rPr>
                <w:b/>
                <w:bCs/>
                <w:sz w:val="20"/>
                <w:szCs w:val="20"/>
              </w:rPr>
              <w:t>38 мес. (вкл.):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37" w:hanging="142"/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по гарантиям в рамках исполнения государственного оборонного заказа (по 275-ФЗ);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37" w:hanging="142"/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по гарантиям гарантийного периода за исключением ОКПД 2 по закупке Строительство (41-43) и поставка, монтаж, ремонт машин и оборудования (26-30, 33, 45,95)</w:t>
            </w:r>
          </w:p>
          <w:p w:rsidR="00F441C5" w:rsidRPr="00F441C5" w:rsidRDefault="00F441C5" w:rsidP="00D91690">
            <w:pPr>
              <w:tabs>
                <w:tab w:val="num" w:pos="487"/>
              </w:tabs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При предоставлении гарантии гарантийного периода со сроком свыше 26 месяцев обязательно предоставление письма от Бенефициара об отсутствии претензий по выполненному контракту.</w:t>
            </w:r>
          </w:p>
        </w:tc>
      </w:tr>
      <w:tr w:rsidR="00F441C5" w:rsidRPr="00F441C5" w:rsidTr="00E658C0">
        <w:trPr>
          <w:trHeight w:val="982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Виды Банковских гарантий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тендерная гарантия;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 исполнения обязательств по контракту;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 возврата аванса.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гарантия, обеспечивающая обязательства в гарантийный период.</w:t>
            </w:r>
          </w:p>
        </w:tc>
      </w:tr>
      <w:tr w:rsidR="00F441C5" w:rsidRPr="00F441C5" w:rsidTr="00E658C0">
        <w:trPr>
          <w:trHeight w:val="1303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Бенефициары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E w:val="0"/>
              <w:ind w:left="171" w:hanging="21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Государственные, муниципальные заказчики, бюджетные учреждения, государственные компании и их дочерние организации, и иные предприятия осуществляющие закупки в рамках законов 44-ФЗ и 223-ФЗ;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E w:val="0"/>
              <w:ind w:left="171" w:hanging="21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Некоммерческие организации/ Фонды капитального ремонта МКД / Операторы ЖКХ, осуществляющие закупки в рамках 185-ФЗ, 615пп</w:t>
            </w:r>
          </w:p>
        </w:tc>
      </w:tr>
      <w:tr w:rsidR="00F441C5" w:rsidRPr="00F441C5" w:rsidTr="00E658C0">
        <w:trPr>
          <w:trHeight w:val="383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Обеспечение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D91690">
            <w:pPr>
              <w:ind w:left="-39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F441C5" w:rsidRPr="00F441C5" w:rsidTr="00E658C0">
        <w:trPr>
          <w:trHeight w:val="383"/>
        </w:trPr>
        <w:tc>
          <w:tcPr>
            <w:tcW w:w="1702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Комиссия за выдачу банковской гарантии</w:t>
            </w:r>
          </w:p>
        </w:tc>
        <w:tc>
          <w:tcPr>
            <w:tcW w:w="8080" w:type="dxa"/>
            <w:vAlign w:val="center"/>
          </w:tcPr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от 2% годовых, устанавливается индивидуально, исходя из суммы гарантии и возможности заведения выручки по контракту на расчетный счет в ПСБ*</w:t>
            </w:r>
          </w:p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FF0000"/>
                <w:sz w:val="20"/>
                <w:szCs w:val="20"/>
              </w:rPr>
              <w:t xml:space="preserve">*со скидкой 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до </w:t>
            </w:r>
            <w:r w:rsidRPr="00F441C5">
              <w:rPr>
                <w:rFonts w:eastAsia="Calibri"/>
                <w:color w:val="FF0000"/>
                <w:sz w:val="20"/>
                <w:szCs w:val="20"/>
              </w:rPr>
              <w:t>30% от стандартных тарифов Банка</w:t>
            </w:r>
          </w:p>
        </w:tc>
      </w:tr>
    </w:tbl>
    <w:p w:rsidR="00E658C0" w:rsidRPr="00F441C5" w:rsidRDefault="00E658C0" w:rsidP="00F441C5">
      <w:pPr>
        <w:ind w:firstLine="567"/>
        <w:jc w:val="both"/>
        <w:rPr>
          <w:b/>
          <w:sz w:val="20"/>
          <w:szCs w:val="20"/>
          <w:u w:val="single"/>
        </w:rPr>
      </w:pPr>
    </w:p>
    <w:p w:rsidR="00F441C5" w:rsidRPr="00F441C5" w:rsidRDefault="00F441C5" w:rsidP="00F441C5">
      <w:pPr>
        <w:pStyle w:val="a9"/>
        <w:widowControl w:val="0"/>
        <w:numPr>
          <w:ilvl w:val="0"/>
          <w:numId w:val="8"/>
        </w:numPr>
        <w:suppressAutoHyphens/>
        <w:autoSpaceDE w:val="0"/>
        <w:contextualSpacing w:val="0"/>
        <w:jc w:val="both"/>
        <w:rPr>
          <w:b/>
          <w:bCs/>
          <w:color w:val="0070C0"/>
          <w:sz w:val="20"/>
          <w:szCs w:val="20"/>
          <w:u w:val="single"/>
        </w:rPr>
      </w:pPr>
      <w:r w:rsidRPr="00F441C5">
        <w:rPr>
          <w:b/>
          <w:bCs/>
          <w:color w:val="0070C0"/>
          <w:sz w:val="20"/>
          <w:szCs w:val="20"/>
          <w:u w:val="single"/>
        </w:rPr>
        <w:t>Банковские гарантии и кредитование в рамках программы «ПСБ Госзаказ +»:</w:t>
      </w:r>
    </w:p>
    <w:p w:rsidR="00F441C5" w:rsidRPr="00F441C5" w:rsidRDefault="00F441C5" w:rsidP="00F441C5">
      <w:pPr>
        <w:ind w:firstLine="567"/>
        <w:jc w:val="both"/>
        <w:rPr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8246"/>
      </w:tblGrid>
      <w:tr w:rsidR="00F441C5" w:rsidRPr="00F441C5" w:rsidTr="00E658C0">
        <w:trPr>
          <w:trHeight w:val="820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Сумма лимита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до 350 000 000,00 руб.</w:t>
            </w:r>
          </w:p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 xml:space="preserve">*при этом кредитование на пополнение оборотных средств для целей исполнения контракта </w:t>
            </w:r>
          </w:p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>не более 100 000 000 руб.</w:t>
            </w:r>
          </w:p>
        </w:tc>
      </w:tr>
      <w:tr w:rsidR="00F441C5" w:rsidRPr="00F441C5" w:rsidTr="00E658C0">
        <w:trPr>
          <w:trHeight w:val="313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ind w:right="-108"/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Срок Банковских гарантий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sz w:val="20"/>
                <w:szCs w:val="20"/>
              </w:rPr>
            </w:pPr>
            <w:r w:rsidRPr="00F441C5">
              <w:rPr>
                <w:sz w:val="20"/>
                <w:szCs w:val="20"/>
              </w:rPr>
              <w:t xml:space="preserve">до 60 мес. </w:t>
            </w:r>
          </w:p>
        </w:tc>
      </w:tr>
      <w:tr w:rsidR="00F441C5" w:rsidRPr="00F441C5" w:rsidTr="00E658C0">
        <w:trPr>
          <w:trHeight w:val="1064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Виды Банковских гарантий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тендерная гарантия;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 исполнения обязательств по контракту;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 возврата аванса.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гарантия, обеспечивающая обязательства в гарантийный период.</w:t>
            </w:r>
          </w:p>
        </w:tc>
      </w:tr>
      <w:tr w:rsidR="00F441C5" w:rsidRPr="00F441C5" w:rsidTr="00E658C0">
        <w:trPr>
          <w:trHeight w:val="898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Виды кредитования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единовременный кредит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возобновляемая кредитная линия  (ВКЛ) / кредитная линия с лимитом задолженности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autoSpaceDE w:val="0"/>
              <w:ind w:left="65" w:hanging="130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невозобновляемая кредитная линия (НКЛ) / кредитная линия с лимитом выдачи</w:t>
            </w:r>
          </w:p>
          <w:p w:rsidR="00F441C5" w:rsidRPr="00F441C5" w:rsidRDefault="00F441C5" w:rsidP="00D91690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* </w:t>
            </w:r>
            <w:r w:rsidRPr="00F441C5">
              <w:rPr>
                <w:rFonts w:eastAsia="Calibri"/>
                <w:bCs/>
                <w:color w:val="000000"/>
                <w:sz w:val="20"/>
                <w:szCs w:val="20"/>
              </w:rPr>
              <w:t>в случае наличия гарантии на исполнение обязательств по данному контракту, выданной в другом банке, в качестве обеспечения кредита принимается залог прав выручки по контракту.</w:t>
            </w:r>
          </w:p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bCs/>
                <w:color w:val="000000"/>
                <w:sz w:val="20"/>
                <w:szCs w:val="20"/>
              </w:rPr>
              <w:t>* при наличии гарантии возврата аванса в другом Банке выдача кредита не допускается.</w:t>
            </w:r>
          </w:p>
        </w:tc>
      </w:tr>
      <w:tr w:rsidR="00F441C5" w:rsidRPr="00F441C5" w:rsidTr="00E658C0">
        <w:trPr>
          <w:trHeight w:val="1702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Бенефициары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F441C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E w:val="0"/>
              <w:ind w:left="171" w:hanging="21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Государственные, муниципальные заказчики, бюджетные учреждения, государственные компании и их дочерние организации, </w:t>
            </w:r>
            <w:r w:rsidRPr="00F441C5">
              <w:rPr>
                <w:rFonts w:eastAsia="Calibri"/>
                <w:color w:val="000000"/>
                <w:sz w:val="20"/>
                <w:szCs w:val="20"/>
                <w:u w:val="single"/>
              </w:rPr>
              <w:t>осуществляющие закупки в рамках законов 44-ФЗ и 223-ФЗ</w:t>
            </w:r>
          </w:p>
          <w:p w:rsidR="00F441C5" w:rsidRPr="00F441C5" w:rsidRDefault="00F441C5" w:rsidP="00F441C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E w:val="0"/>
              <w:ind w:left="171" w:hanging="21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Региональные государственные фонды капитального ремонта (операторы ЖКХ), осуществляющие закупки в рамках 185-ФЗ / 615-ПП</w:t>
            </w:r>
          </w:p>
          <w:p w:rsidR="00F441C5" w:rsidRPr="00F441C5" w:rsidRDefault="00F441C5" w:rsidP="00D91690">
            <w:pPr>
              <w:ind w:left="171" w:hanging="21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-  Компании, входящие в список ТОП-600 крупнейших компаний России по объему реализации продукции (рейтинг агентства «Эксперт РА» </w:t>
            </w:r>
            <w:hyperlink r:id="rId7" w:history="1">
              <w:r w:rsidRPr="00F441C5">
                <w:rPr>
                  <w:rStyle w:val="a8"/>
                  <w:sz w:val="20"/>
                  <w:szCs w:val="20"/>
                </w:rPr>
                <w:t>https://raex-a.ru/rankingtable/top_companies/2021/main</w:t>
              </w:r>
            </w:hyperlink>
          </w:p>
        </w:tc>
      </w:tr>
      <w:tr w:rsidR="00F441C5" w:rsidRPr="00F441C5" w:rsidTr="00E658C0">
        <w:trPr>
          <w:trHeight w:val="2958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lastRenderedPageBreak/>
              <w:t>Обеспечение по банковским гарантиям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  <w:u w:val="single"/>
              </w:rPr>
              <w:t>Без обеспечения в следующих случаях</w:t>
            </w:r>
            <w:r w:rsidRPr="00F441C5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:rsidR="00F441C5" w:rsidRPr="00F441C5" w:rsidRDefault="00F441C5" w:rsidP="00D91690">
            <w:pPr>
              <w:pStyle w:val="a9"/>
              <w:ind w:left="3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- срок гарантии не более 60 мес. / сумма гарантии не более 100 млн. руб. /  заказчик </w:t>
            </w:r>
            <w:r w:rsidRPr="00F441C5">
              <w:rPr>
                <w:sz w:val="20"/>
                <w:szCs w:val="20"/>
              </w:rPr>
              <w:t>осуществляет закупки в рамках законов 44-ФЗ, 223-ФЗ, 185-ФЗ, 615-ПП;</w:t>
            </w: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 заказчик входит  в список ТОП-600 крупнейших компаний России по объему реализации продукции (рейтинг агентства «Эксперт РА»).</w:t>
            </w:r>
          </w:p>
          <w:p w:rsidR="00F441C5" w:rsidRPr="00F441C5" w:rsidRDefault="00F441C5" w:rsidP="00D91690">
            <w:pPr>
              <w:pStyle w:val="a9"/>
              <w:ind w:left="37"/>
              <w:rPr>
                <w:rFonts w:eastAsia="Calibri"/>
                <w:color w:val="000000"/>
                <w:sz w:val="20"/>
                <w:szCs w:val="20"/>
              </w:rPr>
            </w:pPr>
          </w:p>
          <w:p w:rsidR="00F441C5" w:rsidRPr="00F441C5" w:rsidRDefault="00F441C5" w:rsidP="00D91690">
            <w:pPr>
              <w:ind w:left="6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* возможно предоставление гарантий (</w:t>
            </w:r>
            <w:r w:rsidRPr="00F441C5">
              <w:rPr>
                <w:rFonts w:eastAsia="Calibri"/>
                <w:color w:val="000000"/>
                <w:sz w:val="20"/>
                <w:szCs w:val="20"/>
                <w:u w:val="single"/>
              </w:rPr>
              <w:t>в совокупности не более 250 млн. руб</w:t>
            </w:r>
            <w:r w:rsidRPr="00F441C5">
              <w:rPr>
                <w:rFonts w:eastAsia="Calibri"/>
                <w:color w:val="000000"/>
                <w:sz w:val="20"/>
                <w:szCs w:val="20"/>
              </w:rPr>
              <w:t>.) без обеспечения, при соблюдении следующих условий по диверсификации гарантий: БГ на сумму &gt; 50 млн. руб. каждая в совокупности не могут превышать 100 млн. руб.;  БГ на сумму &lt; 50 млн. руб. – без ограничений.</w:t>
            </w:r>
          </w:p>
          <w:p w:rsidR="00F441C5" w:rsidRPr="00F441C5" w:rsidRDefault="00F441C5" w:rsidP="00D91690">
            <w:pPr>
              <w:ind w:left="60"/>
              <w:rPr>
                <w:rFonts w:eastAsia="Calibri"/>
                <w:color w:val="000000"/>
                <w:sz w:val="20"/>
                <w:szCs w:val="20"/>
              </w:rPr>
            </w:pPr>
          </w:p>
          <w:p w:rsidR="00F441C5" w:rsidRPr="00F441C5" w:rsidRDefault="00F441C5" w:rsidP="00D91690">
            <w:pPr>
              <w:ind w:left="6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В остальных случаях – при наличии ликвидного залога (депозит, обеспечительный платеж, страхование предпринимательского риска, недвижимое имущество и т.п.)</w:t>
            </w:r>
          </w:p>
        </w:tc>
      </w:tr>
      <w:tr w:rsidR="00F441C5" w:rsidRPr="00F441C5" w:rsidTr="00E658C0">
        <w:trPr>
          <w:trHeight w:val="654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Обеспечение по кредиту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- при сроке кредитования не более 26 месяцев – без обеспечения</w:t>
            </w:r>
          </w:p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>- при сроке кредитования более 26 месяцев - при наличии ликвидного залога</w:t>
            </w:r>
          </w:p>
        </w:tc>
      </w:tr>
      <w:tr w:rsidR="00F441C5" w:rsidRPr="00F441C5" w:rsidTr="00E658C0">
        <w:trPr>
          <w:trHeight w:val="410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Поручительство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требуется поручительство собственников бизнеса с </w:t>
            </w:r>
            <w:r w:rsidRPr="00F441C5">
              <w:rPr>
                <w:rFonts w:eastAsia="Calibri"/>
                <w:color w:val="000000"/>
                <w:sz w:val="20"/>
                <w:szCs w:val="20"/>
                <w:u w:val="single"/>
              </w:rPr>
              <w:t>суммарной</w:t>
            </w: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 долей более 50 %.</w:t>
            </w:r>
          </w:p>
        </w:tc>
      </w:tr>
      <w:tr w:rsidR="00F441C5" w:rsidRPr="00F441C5" w:rsidTr="00E658C0">
        <w:trPr>
          <w:trHeight w:val="830"/>
        </w:trPr>
        <w:tc>
          <w:tcPr>
            <w:tcW w:w="1677" w:type="dxa"/>
            <w:vAlign w:val="center"/>
          </w:tcPr>
          <w:p w:rsidR="00F441C5" w:rsidRPr="00F441C5" w:rsidRDefault="00F441C5" w:rsidP="00D91690">
            <w:pPr>
              <w:rPr>
                <w:i/>
                <w:sz w:val="20"/>
                <w:szCs w:val="20"/>
              </w:rPr>
            </w:pPr>
            <w:r w:rsidRPr="00F441C5">
              <w:rPr>
                <w:i/>
                <w:sz w:val="20"/>
                <w:szCs w:val="20"/>
              </w:rPr>
              <w:t>Комиссия за выдачу банковской гарантии</w:t>
            </w:r>
          </w:p>
        </w:tc>
        <w:tc>
          <w:tcPr>
            <w:tcW w:w="8246" w:type="dxa"/>
            <w:vAlign w:val="center"/>
          </w:tcPr>
          <w:p w:rsidR="00F441C5" w:rsidRPr="00F441C5" w:rsidRDefault="00F441C5" w:rsidP="00D9169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1C5">
              <w:rPr>
                <w:rFonts w:eastAsia="Calibri"/>
                <w:color w:val="000000"/>
                <w:sz w:val="20"/>
                <w:szCs w:val="20"/>
              </w:rPr>
              <w:t xml:space="preserve">от 2% годовых, устанавливается индивидуально, исходя из суммы гарантии и итоговой структуры сделки. </w:t>
            </w:r>
          </w:p>
        </w:tc>
      </w:tr>
    </w:tbl>
    <w:p w:rsidR="00BC2906" w:rsidRDefault="00BC2906" w:rsidP="00BC2906">
      <w:pPr>
        <w:spacing w:after="40"/>
        <w:ind w:left="-284" w:right="141" w:firstLine="709"/>
        <w:jc w:val="both"/>
        <w:rPr>
          <w:rFonts w:eastAsia="Calibri"/>
          <w:sz w:val="20"/>
          <w:szCs w:val="20"/>
        </w:rPr>
      </w:pPr>
    </w:p>
    <w:p w:rsidR="00BC2906" w:rsidRPr="00BC2906" w:rsidRDefault="00BC2906" w:rsidP="00BC2906">
      <w:pPr>
        <w:spacing w:after="40"/>
        <w:ind w:left="-284" w:right="141" w:firstLine="709"/>
        <w:jc w:val="both"/>
        <w:rPr>
          <w:rFonts w:eastAsia="Calibri"/>
          <w:sz w:val="20"/>
          <w:szCs w:val="20"/>
        </w:rPr>
      </w:pPr>
      <w:r w:rsidRPr="00BC2906">
        <w:rPr>
          <w:rFonts w:eastAsia="Calibri"/>
          <w:sz w:val="20"/>
          <w:szCs w:val="20"/>
        </w:rPr>
        <w:t xml:space="preserve">Контактная информация для участников Госзакупок: </w:t>
      </w:r>
      <w:hyperlink r:id="rId8" w:history="1">
        <w:r w:rsidRPr="00BC2906">
          <w:rPr>
            <w:rFonts w:eastAsia="Calibri"/>
            <w:sz w:val="20"/>
            <w:szCs w:val="20"/>
          </w:rPr>
          <w:t>www.psbank.ru</w:t>
        </w:r>
      </w:hyperlink>
      <w:r w:rsidRPr="00BC2906">
        <w:rPr>
          <w:rFonts w:eastAsia="Calibri"/>
          <w:sz w:val="20"/>
          <w:szCs w:val="20"/>
        </w:rPr>
        <w:t>, 8(3466)217502, 8(3466) 217503, 8(3466) 217847 (доб. 5943, 5920).</w:t>
      </w:r>
    </w:p>
    <w:p w:rsidR="00F441C5" w:rsidRDefault="00F441C5" w:rsidP="00BC2906">
      <w:pPr>
        <w:ind w:left="-284" w:right="141"/>
        <w:jc w:val="both"/>
        <w:rPr>
          <w:sz w:val="20"/>
          <w:szCs w:val="20"/>
        </w:rPr>
      </w:pPr>
      <w:bookmarkStart w:id="0" w:name="_GoBack"/>
      <w:bookmarkEnd w:id="0"/>
    </w:p>
    <w:sectPr w:rsidR="00F441C5" w:rsidSect="00E658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16" w:rsidRDefault="00E85016" w:rsidP="00DC3518">
      <w:r>
        <w:separator/>
      </w:r>
    </w:p>
  </w:endnote>
  <w:endnote w:type="continuationSeparator" w:id="0">
    <w:p w:rsidR="00E85016" w:rsidRDefault="00E85016" w:rsidP="00D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16" w:rsidRDefault="00E85016" w:rsidP="00DC3518">
      <w:r>
        <w:separator/>
      </w:r>
    </w:p>
  </w:footnote>
  <w:footnote w:type="continuationSeparator" w:id="0">
    <w:p w:rsidR="00E85016" w:rsidRDefault="00E85016" w:rsidP="00DC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DF4"/>
    <w:multiLevelType w:val="hybridMultilevel"/>
    <w:tmpl w:val="B0A89B50"/>
    <w:lvl w:ilvl="0" w:tplc="F9166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E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47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2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83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63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63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49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6E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5B1862"/>
    <w:multiLevelType w:val="hybridMultilevel"/>
    <w:tmpl w:val="51E421F8"/>
    <w:lvl w:ilvl="0" w:tplc="903A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A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0677B4"/>
    <w:multiLevelType w:val="hybridMultilevel"/>
    <w:tmpl w:val="0C5A273E"/>
    <w:lvl w:ilvl="0" w:tplc="B86C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C5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05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C9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A3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7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C3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4B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64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B02C68"/>
    <w:multiLevelType w:val="hybridMultilevel"/>
    <w:tmpl w:val="7F14AE90"/>
    <w:lvl w:ilvl="0" w:tplc="4DAE9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00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E8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E1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1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CD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A1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2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44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D81289"/>
    <w:multiLevelType w:val="hybridMultilevel"/>
    <w:tmpl w:val="A5E84DF2"/>
    <w:lvl w:ilvl="0" w:tplc="8E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0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C1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8B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6F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C2D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C2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C96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F1303C"/>
    <w:multiLevelType w:val="hybridMultilevel"/>
    <w:tmpl w:val="5010E6FE"/>
    <w:lvl w:ilvl="0" w:tplc="2406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6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E2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2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36541D"/>
    <w:multiLevelType w:val="hybridMultilevel"/>
    <w:tmpl w:val="E4866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9743B0"/>
    <w:multiLevelType w:val="hybridMultilevel"/>
    <w:tmpl w:val="478ADE80"/>
    <w:lvl w:ilvl="0" w:tplc="72EE9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F"/>
    <w:rsid w:val="00446CFB"/>
    <w:rsid w:val="00583AF4"/>
    <w:rsid w:val="006E62D9"/>
    <w:rsid w:val="00714D8A"/>
    <w:rsid w:val="00715835"/>
    <w:rsid w:val="007266F7"/>
    <w:rsid w:val="007A462F"/>
    <w:rsid w:val="0085532F"/>
    <w:rsid w:val="0088575E"/>
    <w:rsid w:val="00900EAE"/>
    <w:rsid w:val="00934D70"/>
    <w:rsid w:val="009530E6"/>
    <w:rsid w:val="00976867"/>
    <w:rsid w:val="009B77CA"/>
    <w:rsid w:val="00A36C38"/>
    <w:rsid w:val="00AE608B"/>
    <w:rsid w:val="00B21482"/>
    <w:rsid w:val="00B83F25"/>
    <w:rsid w:val="00BA5734"/>
    <w:rsid w:val="00BC2906"/>
    <w:rsid w:val="00C23DFC"/>
    <w:rsid w:val="00CC0792"/>
    <w:rsid w:val="00D00479"/>
    <w:rsid w:val="00D50F43"/>
    <w:rsid w:val="00D54348"/>
    <w:rsid w:val="00D72D55"/>
    <w:rsid w:val="00DC3518"/>
    <w:rsid w:val="00DD3B81"/>
    <w:rsid w:val="00E25D40"/>
    <w:rsid w:val="00E658C0"/>
    <w:rsid w:val="00E85016"/>
    <w:rsid w:val="00E86239"/>
    <w:rsid w:val="00F225C3"/>
    <w:rsid w:val="00F441C5"/>
    <w:rsid w:val="00F65F80"/>
    <w:rsid w:val="00F842F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F5AA"/>
  <w15:chartTrackingRefBased/>
  <w15:docId w15:val="{32862705-C707-4520-A89B-C178671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35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3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C3518"/>
    <w:rPr>
      <w:vertAlign w:val="superscript"/>
    </w:rPr>
  </w:style>
  <w:style w:type="character" w:customStyle="1" w:styleId="left">
    <w:name w:val="left"/>
    <w:basedOn w:val="a0"/>
    <w:rsid w:val="00DC3518"/>
  </w:style>
  <w:style w:type="paragraph" w:customStyle="1" w:styleId="Default">
    <w:name w:val="Default"/>
    <w:rsid w:val="00DC35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7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B83F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23D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4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ex-a.ru/rankingtable/top_companies/2021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 Svetlana Andreevna</dc:creator>
  <cp:keywords/>
  <dc:description/>
  <cp:lastModifiedBy>Шаяхметова Лейсан Айратовна</cp:lastModifiedBy>
  <cp:revision>4</cp:revision>
  <cp:lastPrinted>2022-03-29T09:56:00Z</cp:lastPrinted>
  <dcterms:created xsi:type="dcterms:W3CDTF">2022-04-01T04:54:00Z</dcterms:created>
  <dcterms:modified xsi:type="dcterms:W3CDTF">2022-04-01T06:37:00Z</dcterms:modified>
</cp:coreProperties>
</file>