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номинации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Лучшая публикация/видеоматериал о путешествиях по Югре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1003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4672"/>
        <w:gridCol w:w="413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75" w:lineRule="atLeas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Наименование организации/Фамилия, имя, отчество блогера, владельца телеграм-канала, информационного ресурса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 организации, 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тел., моб.тел., e-mail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90" w:lineRule="atLeas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Свидетельство о регистрации СМИ (при наличии)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Зона вещания/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зона распространения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Название телевизионного сюжета/программы/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lang w:eastAsia="en-US"/>
              </w:rPr>
              <w:t xml:space="preserve">материала представленного на Конкурс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Краткая аннотация материала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публикаций, выходов и/или размещений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Дата выхода публикаций/эфиров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Авторы (ФИО, должность, контактная информация)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Название СМИ/телеграм-канала/иного информационного ресурса, в котором вышел материал, кроме данной организации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21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rPr>
          <w:color w:val="000000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highlight w:val="none"/>
        </w:rPr>
      </w:r>
      <w:r/>
    </w:p>
    <w:p>
      <w:pPr>
        <w:shd w:val="nil" w:color="auto"/>
        <w:rPr>
          <w:sz w:val="26"/>
          <w:szCs w:val="26"/>
          <w:highlight w:val="none"/>
        </w:rPr>
      </w:pPr>
      <w:r>
        <w:rPr>
          <w:highlight w:val="none"/>
        </w:rPr>
      </w:r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