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firstLine="540"/>
        <w:jc w:val="center"/>
        <w:rPr>
          <w:rFonts w:ascii="Tinos" w:hAnsi="Tinos" w:cs="Tinos"/>
          <w:b/>
          <w:bCs/>
          <w:sz w:val="26"/>
          <w:szCs w:val="26"/>
          <w:highlight w:val="none"/>
        </w:rPr>
      </w:pPr>
      <w:r>
        <w:rPr>
          <w:rFonts w:ascii="Tinos" w:hAnsi="Tinos" w:cs="Tinos"/>
          <w:b/>
          <w:bCs/>
          <w:sz w:val="26"/>
          <w:szCs w:val="26"/>
        </w:rPr>
      </w:r>
      <w:r>
        <w:rPr>
          <w:rFonts w:ascii="Tinos" w:hAnsi="Tinos" w:cs="Tinos"/>
          <w:b/>
          <w:bCs/>
          <w:sz w:val="26"/>
          <w:szCs w:val="26"/>
        </w:rPr>
        <w:t xml:space="preserve">ПОСТАНОВЛЕНИЕ </w:t>
      </w:r>
      <w:r>
        <w:rPr>
          <w:rFonts w:ascii="Tinos" w:hAnsi="Tinos" w:cs="Tinos"/>
          <w:b/>
          <w:bCs/>
          <w:sz w:val="26"/>
          <w:szCs w:val="26"/>
        </w:rPr>
      </w:r>
    </w:p>
    <w:p>
      <w:pPr>
        <w:pStyle w:val="837"/>
        <w:ind w:firstLine="540"/>
        <w:jc w:val="center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pStyle w:val="837"/>
        <w:ind w:left="0" w:right="0" w:firstLine="0"/>
        <w:jc w:val="left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pStyle w:val="837"/>
        <w:ind w:left="0" w:right="0" w:firstLine="0"/>
        <w:jc w:val="left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</w:rPr>
        <w:t xml:space="preserve">Об утверждении порядка </w:t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pStyle w:val="837"/>
        <w:ind w:left="0" w:right="0" w:firstLine="0"/>
        <w:jc w:val="left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  <w:t xml:space="preserve">рассмотрения предложения лица, </w:t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pStyle w:val="837"/>
        <w:ind w:left="0" w:right="0" w:firstLine="0"/>
        <w:jc w:val="left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  <w:t xml:space="preserve">выступающего с инициативой </w:t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pStyle w:val="837"/>
        <w:ind w:left="0" w:right="0" w:firstLine="0"/>
        <w:jc w:val="left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</w:rPr>
        <w:t xml:space="preserve">заключения концессионного соглашения</w:t>
      </w:r>
      <w:r/>
      <w:r/>
    </w:p>
    <w:p>
      <w:pPr>
        <w:pStyle w:val="837"/>
        <w:ind w:firstLine="540"/>
        <w:jc w:val="both"/>
        <w:rPr>
          <w:rFonts w:ascii="Tinos" w:hAnsi="Tinos" w:cs="Tinos"/>
          <w:sz w:val="26"/>
          <w:szCs w:val="26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37"/>
        <w:ind w:firstLine="54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  <w:t xml:space="preserve">В целях реализации Федерального закона от 21.07.2005 №115-ФЗ "О концессионных соглаш</w:t>
      </w:r>
      <w:r>
        <w:rPr>
          <w:rFonts w:ascii="Tinos" w:hAnsi="Tinos" w:cs="Tinos"/>
          <w:sz w:val="26"/>
          <w:szCs w:val="26"/>
        </w:rPr>
        <w:t xml:space="preserve">ениях" (далее - Федеральный закон №115-ФЗ), обеспечения взаимодействия и координации деятельности структурных подразделений администрации города при принятии решений о возможности заключения концессионных соглашений и о заключении концессионных соглашений: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  <w:t xml:space="preserve">1. Утвердить порядок </w:t>
      </w:r>
      <w:r>
        <w:rPr>
          <w:rFonts w:ascii="Tinos" w:hAnsi="Tinos" w:cs="Tinos"/>
          <w:color w:val="000000"/>
          <w:sz w:val="26"/>
          <w:szCs w:val="26"/>
        </w:rPr>
        <w:t xml:space="preserve">рассмотрения предложения лица, выступающего</w:t>
      </w:r>
      <w:r>
        <w:rPr>
          <w:rFonts w:ascii="Tinos" w:hAnsi="Tinos" w:cs="Tinos"/>
          <w:sz w:val="26"/>
          <w:szCs w:val="26"/>
        </w:rPr>
        <w:t xml:space="preserve"> </w:t>
      </w:r>
      <w:r>
        <w:rPr>
          <w:rFonts w:ascii="Tinos" w:hAnsi="Tinos" w:cs="Tinos"/>
          <w:color w:val="000000"/>
          <w:sz w:val="26"/>
          <w:szCs w:val="26"/>
        </w:rPr>
        <w:t xml:space="preserve">с инициативой заключения концессионного соглашения</w:t>
      </w:r>
      <w:r>
        <w:rPr>
          <w:rFonts w:ascii="Tinos" w:hAnsi="Tinos" w:cs="Tinos"/>
          <w:color w:val="000000"/>
          <w:sz w:val="26"/>
          <w:szCs w:val="26"/>
        </w:rPr>
        <w:t xml:space="preserve">,</w:t>
      </w:r>
      <w:r>
        <w:rPr>
          <w:rFonts w:ascii="Tinos" w:hAnsi="Tinos" w:cs="Tinos"/>
          <w:sz w:val="26"/>
          <w:szCs w:val="26"/>
        </w:rPr>
        <w:t xml:space="preserve"> </w:t>
      </w:r>
      <w:r>
        <w:rPr>
          <w:rFonts w:ascii="Tinos" w:hAnsi="Tinos" w:cs="Tinos"/>
          <w:sz w:val="26"/>
          <w:szCs w:val="26"/>
        </w:rPr>
        <w:t xml:space="preserve">согласно приложению.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67"/>
        <w:jc w:val="both"/>
        <w:spacing w:before="200"/>
        <w:rPr>
          <w:rFonts w:ascii="Tinos" w:hAnsi="Tinos" w:cs="Tinos"/>
          <w:color w:val="000000"/>
          <w:sz w:val="26"/>
          <w:szCs w:val="26"/>
        </w:rPr>
      </w:pPr>
      <w:r>
        <w:rPr>
          <w:rFonts w:ascii="Tinos" w:hAnsi="Tinos" w:cs="Tinos"/>
          <w:color w:val="000000"/>
          <w:sz w:val="26"/>
          <w:szCs w:val="26"/>
        </w:rPr>
        <w:t xml:space="preserve">2. Признать утратившими силу </w:t>
      </w:r>
      <w:r>
        <w:rPr>
          <w:rFonts w:ascii="Tinos" w:hAnsi="Tinos" w:eastAsia="Calibri" w:cs="Tinos"/>
          <w:color w:val="000000"/>
          <w:sz w:val="26"/>
          <w:szCs w:val="26"/>
          <w:lang w:eastAsia="zh-CN"/>
        </w:rPr>
        <w:t xml:space="preserve">постановления администрации города: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contextualSpacing/>
        <w:ind w:firstLine="709"/>
        <w:jc w:val="both"/>
        <w:spacing w:before="200"/>
        <w:rPr>
          <w:rFonts w:ascii="Tinos" w:hAnsi="Tinos" w:cs="Tinos"/>
          <w:sz w:val="26"/>
          <w:szCs w:val="26"/>
        </w:rPr>
      </w:pPr>
      <w:r>
        <w:rPr>
          <w:rFonts w:ascii="Tinos" w:hAnsi="Tinos" w:eastAsia="Times New Roman" w:cs="Tinos"/>
          <w:color w:val="000000"/>
          <w:sz w:val="26"/>
          <w:szCs w:val="26"/>
        </w:rPr>
        <w:t xml:space="preserve">- от 31.05.2017 </w:t>
      </w:r>
      <w:r>
        <w:rPr>
          <w:rFonts w:ascii="Tinos" w:hAnsi="Tinos" w:cs="Tinos"/>
          <w:color w:val="000000"/>
          <w:sz w:val="26"/>
          <w:szCs w:val="26"/>
        </w:rPr>
        <w:t xml:space="preserve">№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811 "О порядке принятия решений о заключении концессионных соглашений и Порядке формирования перечня объектов, в отношении которых планируется заключение концессионных соглашений";</w:t>
      </w:r>
      <w:r>
        <w:rPr>
          <w:rFonts w:ascii="Tinos" w:hAnsi="Tinos" w:cs="Tinos"/>
          <w:sz w:val="26"/>
          <w:szCs w:val="26"/>
        </w:rPr>
      </w:r>
      <w:r/>
    </w:p>
    <w:p>
      <w:pPr>
        <w:contextualSpacing/>
        <w:ind w:firstLine="709"/>
        <w:jc w:val="both"/>
        <w:spacing w:line="180" w:lineRule="atLeast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Arial" w:cs="Tinos"/>
          <w:color w:val="000000"/>
          <w:sz w:val="26"/>
          <w:szCs w:val="26"/>
        </w:rPr>
        <w:t xml:space="preserve">- от 08.11.2018 №</w:t>
      </w:r>
      <w:hyperlink r:id="rId9" w:tooltip="https://login.consultant.ru/link/?req=doc&amp;base=RLAW926&amp;n=182257&amp;date=29.01.2024&amp;dst=100005&amp;field=134" w:history="1">
        <w:r>
          <w:rPr>
            <w:rFonts w:ascii="Tinos" w:hAnsi="Tinos" w:eastAsia="Arial" w:cs="Tinos"/>
            <w:color w:val="000000"/>
            <w:sz w:val="26"/>
            <w:szCs w:val="26"/>
          </w:rPr>
          <w:t xml:space="preserve">1344</w:t>
        </w:r>
      </w:hyperlink>
      <w:r>
        <w:rPr>
          <w:rFonts w:ascii="Tinos" w:hAnsi="Tinos" w:eastAsia="Arial" w:cs="Tinos"/>
          <w:color w:val="000000"/>
          <w:sz w:val="26"/>
          <w:szCs w:val="26"/>
        </w:rPr>
        <w:t xml:space="preserve"> </w:t>
      </w:r>
      <w:r>
        <w:rPr>
          <w:rFonts w:ascii="Tinos" w:hAnsi="Tinos" w:cs="Tinos"/>
          <w:color w:val="000000"/>
          <w:sz w:val="26"/>
          <w:szCs w:val="26"/>
        </w:rPr>
        <w:t xml:space="preserve">"О внесении изме</w:t>
      </w:r>
      <w:r>
        <w:rPr>
          <w:rFonts w:ascii="Tinos" w:hAnsi="Tinos" w:cs="Tinos"/>
          <w:color w:val="000000"/>
          <w:sz w:val="26"/>
          <w:szCs w:val="26"/>
        </w:rPr>
        <w:t xml:space="preserve">нений в приложения 1, 2 к постановлению администрации города от 31.05.2017 №811 "О порядке принятия решений о заключении концессионных соглашений и Порядке формирования перечня объектов, в отношении которых планируется заключение концессионных соглашений";</w:t>
      </w:r>
      <w:r>
        <w:rPr>
          <w:rFonts w:ascii="Tinos" w:hAnsi="Tinos" w:cs="Tinos"/>
          <w:sz w:val="26"/>
          <w:szCs w:val="26"/>
        </w:rPr>
      </w:r>
      <w:r/>
    </w:p>
    <w:p>
      <w:pPr>
        <w:contextualSpacing/>
        <w:ind w:firstLine="709"/>
        <w:jc w:val="both"/>
        <w:spacing w:line="180" w:lineRule="atLeast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Arial" w:cs="Tinos"/>
          <w:color w:val="000000"/>
          <w:sz w:val="26"/>
          <w:szCs w:val="26"/>
        </w:rPr>
        <w:t xml:space="preserve">- от 15.05.2019 </w:t>
      </w:r>
      <w:hyperlink r:id="rId10" w:tooltip="https://login.consultant.ru/link/?req=doc&amp;base=RLAW926&amp;n=192166&amp;date=29.01.2024&amp;dst=100011&amp;field=134" w:history="1">
        <w:r>
          <w:rPr>
            <w:rFonts w:ascii="Tinos" w:hAnsi="Tinos" w:eastAsia="Arial" w:cs="Tinos"/>
            <w:color w:val="000000"/>
            <w:sz w:val="26"/>
            <w:szCs w:val="26"/>
          </w:rPr>
          <w:t xml:space="preserve">№355</w:t>
        </w:r>
      </w:hyperlink>
      <w:r>
        <w:rPr>
          <w:rFonts w:ascii="Tinos" w:hAnsi="Tinos" w:cs="Tinos"/>
          <w:color w:val="000000"/>
          <w:sz w:val="26"/>
          <w:szCs w:val="26"/>
        </w:rPr>
        <w:t xml:space="preserve"> "О внесении изменений в некоторые постановления администрации города"; </w:t>
      </w:r>
      <w:r>
        <w:rPr>
          <w:rFonts w:ascii="Tinos" w:hAnsi="Tinos" w:cs="Tinos"/>
          <w:sz w:val="26"/>
          <w:szCs w:val="26"/>
        </w:rPr>
      </w:r>
      <w:r/>
    </w:p>
    <w:p>
      <w:pPr>
        <w:contextualSpacing/>
        <w:ind w:firstLine="709"/>
        <w:jc w:val="both"/>
        <w:spacing w:line="180" w:lineRule="atLeast"/>
        <w:rPr>
          <w:rFonts w:ascii="Tinos" w:hAnsi="Tinos" w:cs="Tinos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sz w:val="26"/>
          <w:szCs w:val="26"/>
        </w:rPr>
        <w:t xml:space="preserve">- </w:t>
      </w:r>
      <w:r>
        <w:rPr>
          <w:rFonts w:ascii="Tinos" w:hAnsi="Tinos" w:eastAsia="Arial" w:cs="Tinos"/>
          <w:color w:val="000000"/>
          <w:sz w:val="26"/>
          <w:szCs w:val="26"/>
        </w:rPr>
        <w:t xml:space="preserve">от 02.03.2020 №</w:t>
      </w:r>
      <w:hyperlink r:id="rId11" w:tooltip="https://login.consultant.ru/link/?req=doc&amp;base=RLAW926&amp;n=206753&amp;date=29.01.2024&amp;dst=100005&amp;field=134" w:history="1">
        <w:r>
          <w:rPr>
            <w:rFonts w:ascii="Tinos" w:hAnsi="Tinos" w:eastAsia="Arial" w:cs="Tinos"/>
            <w:color w:val="000000"/>
            <w:sz w:val="26"/>
            <w:szCs w:val="26"/>
          </w:rPr>
          <w:t xml:space="preserve">170</w:t>
        </w:r>
      </w:hyperlink>
      <w:r>
        <w:rPr>
          <w:rFonts w:ascii="Tinos" w:hAnsi="Tinos" w:eastAsia="Arial" w:cs="Tinos"/>
          <w:color w:val="000000"/>
          <w:sz w:val="26"/>
          <w:szCs w:val="26"/>
        </w:rPr>
        <w:t xml:space="preserve"> </w:t>
      </w:r>
      <w:r>
        <w:rPr>
          <w:rFonts w:ascii="Tinos" w:hAnsi="Tinos" w:cs="Tinos"/>
          <w:color w:val="000000"/>
          <w:sz w:val="26"/>
          <w:szCs w:val="26"/>
        </w:rPr>
        <w:t xml:space="preserve">"О внесении изменений в приложение 1 к постановлению администрации</w:t>
      </w:r>
      <w:r>
        <w:rPr>
          <w:rFonts w:ascii="Tinos" w:hAnsi="Tinos" w:cs="Tinos"/>
          <w:color w:val="000000"/>
          <w:sz w:val="26"/>
          <w:szCs w:val="26"/>
        </w:rPr>
        <w:t xml:space="preserve"> города от 31.05.2017 №811 "О Порядке принятия решений о заключении концессионных соглашений и Порядке формирования перечня объектов, в отношении которых планируется заключение концессионных соглашений" (с изменениями от 08.11.2018 №1344, 15.05.2019 №355)"</w:t>
      </w:r>
      <w:r>
        <w:rPr>
          <w:rFonts w:ascii="Tinos" w:hAnsi="Tinos" w:cs="Tinos"/>
          <w:sz w:val="26"/>
          <w:szCs w:val="26"/>
        </w:rPr>
        <w:t xml:space="preserve">.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67"/>
        <w:jc w:val="both"/>
        <w:spacing w:before="200"/>
        <w:rPr>
          <w:rFonts w:ascii="Tinos" w:hAnsi="Tinos" w:cs="Tinos"/>
          <w:color w:val="000000"/>
          <w:sz w:val="26"/>
          <w:szCs w:val="26"/>
        </w:rPr>
      </w:pPr>
      <w:r>
        <w:rPr>
          <w:rFonts w:ascii="Tinos" w:hAnsi="Tinos" w:cs="Tinos"/>
          <w:color w:val="000000"/>
          <w:sz w:val="26"/>
          <w:szCs w:val="26"/>
        </w:rPr>
        <w:t xml:space="preserve">3.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67"/>
        <w:jc w:val="both"/>
        <w:spacing w:before="200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color w:val="000000"/>
          <w:sz w:val="26"/>
          <w:szCs w:val="26"/>
        </w:rPr>
        <w:t xml:space="preserve">4. Постановление вступает в силу после его официального опубликования.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67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67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color w:val="000000"/>
          <w:sz w:val="26"/>
          <w:szCs w:val="26"/>
        </w:rPr>
        <w:t xml:space="preserve">5. Контроль за выполнением постановления </w:t>
      </w:r>
      <w:r>
        <w:rPr>
          <w:rFonts w:ascii="Tinos" w:hAnsi="Tinos" w:cs="Tinos"/>
          <w:sz w:val="26"/>
          <w:szCs w:val="26"/>
        </w:rPr>
        <w:t xml:space="preserve">возложить на заместителя главы города, директора департамента строительства администрации города В.П. Ситникова.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jc w:val="right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  <w:t xml:space="preserve"> 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  <w:t xml:space="preserve">Глава города        </w:t>
      </w:r>
      <w:r>
        <w:rPr>
          <w:rFonts w:ascii="Tinos" w:hAnsi="Tinos" w:cs="Tinos"/>
          <w:sz w:val="26"/>
          <w:szCs w:val="26"/>
        </w:rPr>
        <w:tab/>
      </w:r>
      <w:r>
        <w:rPr>
          <w:rFonts w:ascii="Tinos" w:hAnsi="Tinos" w:cs="Tinos"/>
          <w:sz w:val="26"/>
          <w:szCs w:val="26"/>
        </w:rPr>
        <w:tab/>
      </w:r>
      <w:r>
        <w:rPr>
          <w:rFonts w:ascii="Tinos" w:hAnsi="Tinos" w:cs="Tinos"/>
          <w:sz w:val="26"/>
          <w:szCs w:val="26"/>
        </w:rPr>
        <w:tab/>
      </w:r>
      <w:r>
        <w:rPr>
          <w:rFonts w:ascii="Tinos" w:hAnsi="Tinos" w:cs="Tinos"/>
          <w:sz w:val="26"/>
          <w:szCs w:val="26"/>
        </w:rPr>
        <w:tab/>
      </w:r>
      <w:r>
        <w:rPr>
          <w:rFonts w:ascii="Tinos" w:hAnsi="Tinos" w:cs="Tinos"/>
          <w:sz w:val="26"/>
          <w:szCs w:val="26"/>
        </w:rPr>
        <w:tab/>
      </w:r>
      <w:r>
        <w:rPr>
          <w:rFonts w:ascii="Tinos" w:hAnsi="Tinos" w:cs="Tinos"/>
          <w:sz w:val="26"/>
          <w:szCs w:val="26"/>
        </w:rPr>
        <w:tab/>
      </w:r>
      <w:r>
        <w:rPr>
          <w:rFonts w:ascii="Tinos" w:hAnsi="Tinos" w:cs="Tinos"/>
          <w:sz w:val="26"/>
          <w:szCs w:val="26"/>
        </w:rPr>
        <w:tab/>
      </w:r>
      <w:r>
        <w:rPr>
          <w:rFonts w:ascii="Tinos" w:hAnsi="Tinos" w:cs="Tinos"/>
          <w:sz w:val="26"/>
          <w:szCs w:val="26"/>
        </w:rPr>
        <w:tab/>
        <w:t xml:space="preserve">Д.А. Кощенко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left="5669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left="5669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left="5669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left="5669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left="5669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left="5669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  <w:t xml:space="preserve">Приложение к постановлению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left="5669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  <w:t xml:space="preserve">от ______________ № _______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center"/>
        <w:rPr>
          <w:rFonts w:ascii="Tinos" w:hAnsi="Tinos" w:cs="Tinos"/>
          <w:b/>
          <w:bCs/>
          <w:sz w:val="26"/>
          <w:szCs w:val="26"/>
        </w:rPr>
      </w:pPr>
      <w:r>
        <w:rPr>
          <w:rFonts w:ascii="Tinos" w:hAnsi="Tinos" w:cs="Tinos"/>
          <w:b/>
          <w:bCs/>
          <w:sz w:val="26"/>
          <w:szCs w:val="26"/>
        </w:rPr>
        <w:t xml:space="preserve">Порядок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center"/>
        <w:rPr>
          <w:rFonts w:ascii="Tinos" w:hAnsi="Tinos" w:cs="Tinos"/>
          <w:b/>
          <w:bCs/>
          <w:sz w:val="26"/>
          <w:szCs w:val="26"/>
        </w:rPr>
      </w:pPr>
      <w:r>
        <w:rPr>
          <w:rFonts w:ascii="Tinos" w:hAnsi="Tinos" w:cs="Tinos"/>
          <w:b/>
          <w:bCs/>
          <w:color w:val="000000"/>
          <w:sz w:val="26"/>
          <w:szCs w:val="26"/>
        </w:rPr>
        <w:t xml:space="preserve">рассмотрения предложения лица, выступающего</w:t>
      </w:r>
      <w:r>
        <w:rPr>
          <w:rFonts w:ascii="Tinos" w:hAnsi="Tinos" w:cs="Tinos"/>
          <w:b/>
          <w:bCs/>
          <w:sz w:val="26"/>
          <w:szCs w:val="26"/>
        </w:rPr>
        <w:t xml:space="preserve"> </w:t>
      </w:r>
      <w:r>
        <w:rPr>
          <w:rFonts w:ascii="Tinos" w:hAnsi="Tinos" w:cs="Tinos"/>
          <w:b/>
          <w:bCs/>
          <w:color w:val="000000"/>
          <w:sz w:val="26"/>
          <w:szCs w:val="26"/>
        </w:rPr>
        <w:t xml:space="preserve">с инициативой заключения концессионного соглашения</w:t>
      </w:r>
      <w:r>
        <w:rPr>
          <w:rFonts w:ascii="Tinos" w:hAnsi="Tinos" w:cs="Tinos"/>
          <w:b/>
          <w:bCs/>
          <w:sz w:val="26"/>
          <w:szCs w:val="26"/>
        </w:rPr>
        <w:t xml:space="preserve"> (далее – Порядок) 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center"/>
        <w:rPr>
          <w:rFonts w:ascii="Tinos" w:hAnsi="Tinos" w:cs="Tinos"/>
          <w:b/>
          <w:bCs/>
          <w:sz w:val="26"/>
          <w:szCs w:val="26"/>
        </w:rPr>
      </w:pPr>
      <w:r>
        <w:rPr>
          <w:rFonts w:ascii="Tinos" w:hAnsi="Tinos" w:cs="Tinos"/>
          <w:b/>
          <w:bCs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b w:val="0"/>
          <w:bCs w:val="0"/>
          <w:strike w:val="0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</w:rPr>
        <w:t xml:space="preserve">1. Настоящий Порядок регулирует </w:t>
      </w:r>
      <w:r>
        <w:rPr>
          <w:rFonts w:ascii="Tinos" w:hAnsi="Tinos" w:cs="Tinos"/>
          <w:b w:val="0"/>
          <w:bCs w:val="0"/>
          <w:strike w:val="0"/>
          <w:sz w:val="26"/>
          <w:szCs w:val="26"/>
          <w:highlight w:val="none"/>
        </w:rPr>
        <w:t xml:space="preserve">процедуру</w:t>
      </w:r>
      <w:r>
        <w:rPr>
          <w:rFonts w:ascii="Tinos" w:hAnsi="Tinos" w:cs="Tinos"/>
          <w:b w:val="0"/>
          <w:bCs w:val="0"/>
          <w:strike w:val="0"/>
          <w:sz w:val="26"/>
          <w:szCs w:val="26"/>
          <w:highlight w:val="none"/>
        </w:rPr>
        <w:t xml:space="preserve"> </w:t>
      </w:r>
      <w:r>
        <w:rPr>
          <w:rFonts w:ascii="Tinos" w:hAnsi="Tinos" w:cs="Tinos"/>
          <w:b w:val="0"/>
          <w:bCs w:val="0"/>
          <w:strike w:val="0"/>
          <w:sz w:val="26"/>
          <w:szCs w:val="26"/>
          <w:highlight w:val="none"/>
        </w:rPr>
        <w:t xml:space="preserve">рассмотрени</w:t>
      </w:r>
      <w:r>
        <w:rPr>
          <w:rFonts w:ascii="Tinos" w:hAnsi="Tinos" w:cs="Tinos"/>
          <w:b w:val="0"/>
          <w:bCs w:val="0"/>
          <w:strike w:val="0"/>
          <w:sz w:val="26"/>
          <w:szCs w:val="26"/>
          <w:highlight w:val="none"/>
        </w:rPr>
        <w:t xml:space="preserve">я</w:t>
      </w:r>
      <w:r>
        <w:rPr>
          <w:rFonts w:ascii="Tinos" w:hAnsi="Tinos" w:cs="Tinos"/>
          <w:b w:val="0"/>
          <w:bCs w:val="0"/>
          <w:strike w:val="0"/>
          <w:sz w:val="26"/>
          <w:szCs w:val="26"/>
          <w:highlight w:val="none"/>
        </w:rPr>
        <w:t xml:space="preserve"> предложения лица, выступающего с инициативой заключения концессионного соглашения (далее – предложение, инициатор), в соответствии со статьей 37 Федерального закона от 21.07.2005 N115-ФЗ "О концессионных соглашениях" (далее – Федеральный закон №115-ФЗ)</w:t>
      </w:r>
      <w:r>
        <w:rPr>
          <w:rFonts w:ascii="Tinos" w:hAnsi="Tinos" w:cs="Tinos"/>
          <w:b w:val="0"/>
          <w:bCs w:val="0"/>
          <w:strike w:val="0"/>
          <w:sz w:val="26"/>
          <w:szCs w:val="26"/>
          <w:highlight w:val="none"/>
        </w:rPr>
        <w:t xml:space="preserve">, в том числе </w:t>
      </w:r>
      <w:r>
        <w:rPr>
          <w:rFonts w:ascii="Tinos" w:hAnsi="Tinos" w:cs="Tinos"/>
          <w:b w:val="0"/>
          <w:bCs w:val="0"/>
          <w:strike w:val="0"/>
          <w:sz w:val="26"/>
          <w:szCs w:val="26"/>
          <w:highlight w:val="none"/>
        </w:rPr>
        <w:t xml:space="preserve">взаимодействи</w:t>
      </w:r>
      <w:r>
        <w:rPr>
          <w:rFonts w:ascii="Tinos" w:hAnsi="Tinos" w:cs="Tinos"/>
          <w:b w:val="0"/>
          <w:bCs w:val="0"/>
          <w:strike w:val="0"/>
          <w:sz w:val="26"/>
          <w:szCs w:val="26"/>
          <w:highlight w:val="none"/>
        </w:rPr>
        <w:t xml:space="preserve">я</w:t>
      </w:r>
      <w:r>
        <w:rPr>
          <w:rFonts w:ascii="Tinos" w:hAnsi="Tinos" w:cs="Tinos"/>
          <w:b w:val="0"/>
          <w:bCs w:val="0"/>
          <w:strike w:val="0"/>
          <w:sz w:val="26"/>
          <w:szCs w:val="26"/>
          <w:highlight w:val="none"/>
        </w:rPr>
        <w:t xml:space="preserve"> структурных подразделений администрации города Нижневартовска (далее – структурные подразделения) при</w:t>
      </w:r>
      <w:r>
        <w:rPr>
          <w:rFonts w:ascii="Tinos" w:hAnsi="Tinos" w:cs="Tinos"/>
          <w:b w:val="0"/>
          <w:bCs w:val="0"/>
          <w:strike w:val="0"/>
          <w:sz w:val="26"/>
          <w:szCs w:val="26"/>
          <w:highlight w:val="none"/>
        </w:rPr>
        <w:t xml:space="preserve"> рассмотрении предложения</w:t>
      </w:r>
      <w:r>
        <w:rPr>
          <w:rFonts w:ascii="Tinos" w:hAnsi="Tinos" w:cs="Tinos"/>
          <w:b w:val="0"/>
          <w:bCs w:val="0"/>
          <w:strike w:val="0"/>
          <w:sz w:val="26"/>
          <w:szCs w:val="26"/>
          <w:highlight w:val="none"/>
        </w:rPr>
        <w:t xml:space="preserve">. </w:t>
      </w:r>
      <w:r>
        <w:rPr>
          <w:rFonts w:ascii="Tinos" w:hAnsi="Tinos" w:cs="Tinos"/>
          <w:sz w:val="26"/>
          <w:szCs w:val="26"/>
        </w:rPr>
      </w:r>
      <w:r/>
    </w:p>
    <w:p>
      <w:pPr>
        <w:ind w:firstLine="540"/>
        <w:jc w:val="both"/>
        <w:spacing w:line="180" w:lineRule="atLeast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Arial" w:cs="Tinos"/>
          <w:sz w:val="26"/>
          <w:szCs w:val="26"/>
        </w:rPr>
        <w:t xml:space="preserve">2. </w:t>
      </w:r>
      <w:r>
        <w:rPr>
          <w:rFonts w:ascii="Tinos" w:hAnsi="Tinos" w:cs="Tinos"/>
          <w:color w:val="000000"/>
          <w:sz w:val="26"/>
          <w:szCs w:val="26"/>
        </w:rPr>
        <w:t xml:space="preserve">Орган, уполномоченный муниципальным нормативным правовым актом на </w:t>
      </w:r>
      <w:r>
        <w:rPr>
          <w:rFonts w:ascii="Tinos" w:hAnsi="Tinos" w:cs="Tinos"/>
          <w:color w:val="000000"/>
          <w:sz w:val="26"/>
          <w:szCs w:val="26"/>
        </w:rPr>
        <w:t xml:space="preserve">рассмотрение предложения лица, выступающего с инициативой заключения концессионного соглашения</w:t>
      </w:r>
      <w:r>
        <w:rPr>
          <w:rFonts w:ascii="Tinos" w:hAnsi="Tinos" w:cs="Tinos"/>
          <w:color w:val="000000"/>
          <w:sz w:val="26"/>
          <w:szCs w:val="26"/>
        </w:rPr>
        <w:t xml:space="preserve"> (далее – уполномоченный орган), </w:t>
      </w:r>
      <w:r>
        <w:rPr>
          <w:rFonts w:ascii="Tinos" w:hAnsi="Tinos" w:eastAsia="Arial" w:cs="Tinos"/>
          <w:sz w:val="26"/>
          <w:szCs w:val="26"/>
        </w:rPr>
        <w:t xml:space="preserve">в течение пяти календарных дней со дня поступления предложения </w:t>
      </w:r>
      <w:r>
        <w:rPr>
          <w:rFonts w:ascii="Tinos" w:hAnsi="Tinos" w:eastAsia="Arial" w:cs="Tinos"/>
          <w:sz w:val="26"/>
          <w:szCs w:val="26"/>
        </w:rPr>
        <w:t xml:space="preserve">с приложением проекта концессионного соглашения направляет его копии: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  <w:t xml:space="preserve">2.1. В департамент муниципальной собственности и земельных ресурсов администрации города для подготовки заключения о наличии (отсутствии) оснований для отказа</w:t>
      </w:r>
      <w:r>
        <w:rPr>
          <w:rFonts w:ascii="Tinos" w:hAnsi="Tinos" w:cs="Tinos"/>
          <w:color w:val="auto"/>
          <w:sz w:val="26"/>
          <w:szCs w:val="26"/>
        </w:rPr>
        <w:t xml:space="preserve"> в заключении концессионного соглашения,</w:t>
      </w:r>
      <w:r>
        <w:rPr>
          <w:rFonts w:ascii="Tinos" w:hAnsi="Tinos" w:cs="Tinos"/>
          <w:color w:val="ff0000"/>
          <w:sz w:val="26"/>
          <w:szCs w:val="26"/>
        </w:rPr>
        <w:t xml:space="preserve"> </w:t>
      </w:r>
      <w:r>
        <w:rPr>
          <w:rFonts w:ascii="Tinos" w:hAnsi="Tinos" w:cs="Tinos"/>
          <w:sz w:val="26"/>
          <w:szCs w:val="26"/>
        </w:rPr>
        <w:t xml:space="preserve">предусмотренных пунктами 1</w:t>
      </w:r>
      <w:r>
        <w:rPr>
          <w:rFonts w:ascii="Tinos" w:hAnsi="Tinos" w:cs="Tinos"/>
          <w:sz w:val="26"/>
          <w:szCs w:val="26"/>
        </w:rPr>
        <w:t xml:space="preserve">-4, 11 части 4.6 статьи 37 Федерального закона №115-ФЗ. 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  <w:t xml:space="preserve">2.2. В департамент жилищно-коммунального хозяйства</w:t>
      </w:r>
      <w:r>
        <w:rPr>
          <w:rFonts w:ascii="Tinos" w:hAnsi="Tinos" w:cs="Tinos"/>
          <w:sz w:val="26"/>
          <w:szCs w:val="26"/>
        </w:rPr>
        <w:t xml:space="preserve"> администрации города  для подготовки </w:t>
      </w:r>
      <w:r>
        <w:rPr>
          <w:rFonts w:ascii="Tinos" w:hAnsi="Tinos" w:cs="Tinos"/>
          <w:sz w:val="26"/>
          <w:szCs w:val="26"/>
        </w:rPr>
        <w:t xml:space="preserve">заключения</w:t>
      </w:r>
      <w:r>
        <w:rPr>
          <w:rFonts w:ascii="Tinos" w:hAnsi="Tinos" w:cs="Tinos"/>
          <w:sz w:val="26"/>
          <w:szCs w:val="26"/>
        </w:rPr>
        <w:t xml:space="preserve"> о соответствии предложения части 4.3 статьи 37 Федерального закона №115-ФЗ, о наличии (отсутствии) оснований для отказа </w:t>
      </w:r>
      <w:r>
        <w:rPr>
          <w:rFonts w:ascii="Tinos" w:hAnsi="Tinos" w:cs="Tinos"/>
          <w:color w:val="auto"/>
          <w:sz w:val="26"/>
          <w:szCs w:val="26"/>
        </w:rPr>
        <w:t xml:space="preserve">в заключении концессионного соглашения</w:t>
      </w:r>
      <w:r>
        <w:rPr>
          <w:rFonts w:ascii="Tinos" w:hAnsi="Tinos" w:cs="Tinos"/>
          <w:sz w:val="26"/>
          <w:szCs w:val="26"/>
        </w:rPr>
        <w:t xml:space="preserve">, предусмотренных пунктами 1, 5, 10-11 части 4.6 статьи 37 Федерального закона №115-ФЗ. 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  <w:t xml:space="preserve">2.3. В департамент финансов администрации города для подготовки </w:t>
      </w:r>
      <w:r>
        <w:rPr>
          <w:rFonts w:ascii="Tinos" w:hAnsi="Tinos" w:cs="Tinos"/>
          <w:sz w:val="26"/>
          <w:szCs w:val="26"/>
        </w:rPr>
        <w:t xml:space="preserve">заключения</w:t>
      </w:r>
      <w:r>
        <w:rPr>
          <w:rFonts w:ascii="Tinos" w:hAnsi="Tinos" w:cs="Tinos"/>
          <w:sz w:val="26"/>
          <w:szCs w:val="26"/>
        </w:rPr>
        <w:t xml:space="preserve"> о наличии (отсутствии) основания для отказа в заключении концессионного соглашения, предусмотренного пунктом 6 части 4.6 статьи 37 Федерального закона №115-ФЗ (далее – отказ). 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  <w:t xml:space="preserve">2.4. В департамент строительства администрации города для расс</w:t>
      </w:r>
      <w:r>
        <w:rPr>
          <w:rFonts w:ascii="Tinos" w:hAnsi="Tinos" w:cs="Tinos"/>
          <w:sz w:val="26"/>
          <w:szCs w:val="26"/>
        </w:rPr>
        <w:t xml:space="preserve">мотрения предложения инициатора на предмет его соответствия  части 4.3 статьи 37 Федерального закона №115-ФЗ и подготовки </w:t>
      </w:r>
      <w:r>
        <w:rPr>
          <w:rFonts w:ascii="Tinos" w:hAnsi="Tinos" w:cs="Tinos"/>
          <w:sz w:val="26"/>
          <w:szCs w:val="26"/>
        </w:rPr>
        <w:t xml:space="preserve">заключения</w:t>
      </w:r>
      <w:r>
        <w:rPr>
          <w:rFonts w:ascii="Tinos" w:hAnsi="Tinos" w:cs="Tinos"/>
          <w:sz w:val="26"/>
          <w:szCs w:val="26"/>
        </w:rPr>
        <w:t xml:space="preserve"> о наличии (отсутствии) основания для отказа</w:t>
      </w:r>
      <w:r>
        <w:rPr>
          <w:rFonts w:ascii="Tinos" w:hAnsi="Tinos" w:cs="Tinos"/>
          <w:color w:val="auto"/>
          <w:sz w:val="26"/>
          <w:szCs w:val="26"/>
        </w:rPr>
        <w:t xml:space="preserve"> в заключении концессионного соглашения</w:t>
      </w:r>
      <w:r>
        <w:rPr>
          <w:rFonts w:ascii="Tinos" w:hAnsi="Tinos" w:cs="Tinos"/>
          <w:sz w:val="26"/>
          <w:szCs w:val="26"/>
        </w:rPr>
        <w:t xml:space="preserve">, предусмотренного пунктом 11 части 4.6 статьи 37 Федерального закона №115-ФЗ. 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  <w:t xml:space="preserve">2.5. В структурное подразделение администрации города, к сфере деятельности </w:t>
      </w:r>
      <w:r>
        <w:rPr>
          <w:rFonts w:ascii="Tinos" w:hAnsi="Tinos" w:cs="Tinos"/>
          <w:sz w:val="26"/>
          <w:szCs w:val="26"/>
        </w:rPr>
        <w:t xml:space="preserve">которого относится объект концессионного соглашения (далее – отраслевое структурное подразделение), для подготовки </w:t>
      </w:r>
      <w:r>
        <w:rPr>
          <w:rFonts w:ascii="Tinos" w:hAnsi="Tinos" w:cs="Tinos"/>
          <w:sz w:val="26"/>
          <w:szCs w:val="26"/>
        </w:rPr>
        <w:t xml:space="preserve">заключения</w:t>
      </w:r>
      <w:r>
        <w:rPr>
          <w:rFonts w:ascii="Tinos" w:hAnsi="Tinos" w:cs="Tinos"/>
          <w:sz w:val="26"/>
          <w:szCs w:val="26"/>
        </w:rPr>
        <w:t xml:space="preserve"> о наличии (отсутствии) оснований для отказа </w:t>
      </w:r>
      <w:r>
        <w:rPr>
          <w:rFonts w:ascii="Tinos" w:hAnsi="Tinos" w:cs="Tinos"/>
          <w:color w:val="auto"/>
          <w:sz w:val="26"/>
          <w:szCs w:val="26"/>
        </w:rPr>
        <w:t xml:space="preserve">в заключении концессионного соглашения</w:t>
      </w:r>
      <w:r>
        <w:rPr>
          <w:rFonts w:ascii="Tinos" w:hAnsi="Tinos" w:cs="Tinos"/>
          <w:sz w:val="26"/>
          <w:szCs w:val="26"/>
        </w:rPr>
        <w:t xml:space="preserve">, предусмотренных пунктами 1, 6-8, 11 части 4.6 статьи 37 Федерального закона  №115-ФЗ.</w:t>
      </w:r>
      <w:r>
        <w:rPr>
          <w:rFonts w:ascii="Tinos" w:hAnsi="Tinos" w:cs="Tinos"/>
          <w:sz w:val="26"/>
          <w:szCs w:val="26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strike w:val="0"/>
          <w:sz w:val="26"/>
          <w:szCs w:val="26"/>
        </w:rPr>
        <w:t xml:space="preserve">2.6. В юридическое управление администрации города для п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роведения правовой экспертизы </w:t>
      </w:r>
      <w:r>
        <w:rPr>
          <w:rFonts w:ascii="Tinos" w:hAnsi="Tinos" w:cs="Tinos"/>
          <w:strike w:val="0"/>
          <w:sz w:val="26"/>
          <w:szCs w:val="26"/>
        </w:rPr>
        <w:t xml:space="preserve">проекта концессионного соглашения</w:t>
      </w:r>
      <w:r>
        <w:rPr>
          <w:rFonts w:ascii="Tinos" w:hAnsi="Tinos" w:cs="Tinos"/>
          <w:strike w:val="0"/>
          <w:sz w:val="26"/>
          <w:szCs w:val="26"/>
        </w:rPr>
        <w:t xml:space="preserve">. </w:t>
      </w:r>
      <w:r>
        <w:rPr>
          <w:rFonts w:ascii="Tinos" w:hAnsi="Tinos" w:cs="Tinos"/>
          <w:strike w:val="0"/>
          <w:sz w:val="26"/>
          <w:szCs w:val="26"/>
        </w:rPr>
        <w:t xml:space="preserve"> </w:t>
      </w:r>
      <w:r>
        <w:rPr>
          <w:rFonts w:ascii="Tinos" w:hAnsi="Tinos" w:eastAsia="Times New Roman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  <w:t xml:space="preserve">2.7. 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систем:</w:t>
      </w:r>
      <w:r>
        <w:rPr>
          <w:rFonts w:ascii="Tinos" w:hAnsi="Tinos" w:cs="Tinos"/>
          <w:sz w:val="26"/>
          <w:szCs w:val="26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sz w:val="26"/>
          <w:szCs w:val="26"/>
        </w:rPr>
        <w:t xml:space="preserve">2.7.1. В Региональную службу по тарифам Ханты-Мансийского автономного округа-Югры (далее – РСТ Югры) в порядке, установленном пунктом 3 статьи 52 Федерального закона №115-ФЗ, для </w:t>
      </w:r>
      <w:r>
        <w:rPr>
          <w:rFonts w:ascii="Tinos" w:hAnsi="Tinos" w:cs="Tinos"/>
          <w:sz w:val="26"/>
          <w:szCs w:val="26"/>
        </w:rPr>
        <w:t xml:space="preserve">согласования содержащихся в предложении </w:t>
      </w:r>
      <w:r>
        <w:rPr>
          <w:rFonts w:ascii="Tinos" w:hAnsi="Tinos" w:cs="Tinos"/>
          <w:sz w:val="26"/>
          <w:szCs w:val="26"/>
        </w:rPr>
        <w:t xml:space="preserve">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нормативными правовыми актами Российской Федерации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 </w:t>
      </w:r>
      <w:r>
        <w:rPr>
          <w:rFonts w:ascii="Tinos" w:hAnsi="Tinos" w:eastAsia="Times New Roman" w:cs="Tinos"/>
          <w:color w:val="000000"/>
          <w:sz w:val="26"/>
          <w:szCs w:val="26"/>
          <w:highlight w:val="none"/>
        </w:rPr>
        <w:t xml:space="preserve">в сфере теплоснабжения, водоснабжения и водоотведения, долгосрочных параметров государственного регулирования цен (тарифов) в сфере теплоснабжения)</w:t>
      </w:r>
      <w:r>
        <w:rPr>
          <w:rFonts w:ascii="Tinos" w:hAnsi="Tinos" w:cs="Tinos"/>
          <w:sz w:val="26"/>
          <w:szCs w:val="26"/>
          <w:highlight w:val="none"/>
        </w:rPr>
        <w:t xml:space="preserve">, </w:t>
      </w:r>
      <w:r>
        <w:rPr>
          <w:rFonts w:ascii="Tinos" w:hAnsi="Tinos" w:cs="Tinos"/>
          <w:sz w:val="26"/>
          <w:szCs w:val="26"/>
        </w:rPr>
        <w:t xml:space="preserve">и метода регулирования тарифов (далее – согласование).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  <w:t xml:space="preserve">2.7.</w:t>
      </w:r>
      <w:r>
        <w:rPr>
          <w:rFonts w:ascii="Tinos" w:hAnsi="Tinos" w:cs="Tinos"/>
          <w:sz w:val="26"/>
          <w:szCs w:val="26"/>
        </w:rPr>
        <w:t xml:space="preserve">2. В Департамент строительства и жилищно-коммунального комплекса Ханты-Мансийского автономного округа-Югры (далее – Депстрой и ЖКК Югры) для подготовки заключения о результатах оценки проекта концессионного соглашения  на предмет экономической, бюджетной и</w:t>
      </w:r>
      <w:r>
        <w:rPr>
          <w:rFonts w:ascii="Tinos" w:hAnsi="Tinos" w:cs="Tinos"/>
          <w:sz w:val="26"/>
          <w:szCs w:val="26"/>
        </w:rPr>
        <w:t xml:space="preserve"> технической эффективности, в порядке, установленном Постановлением Правительства Ханты-Мансийского автономного округа – Югры от 29.12.2020 №643-п «О мерах по реализации государственной программы Ханты-Мансийского автономного округа - Югры «Строительство».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  <w:t xml:space="preserve">3. В</w:t>
      </w:r>
      <w:r>
        <w:rPr>
          <w:rFonts w:ascii="Tinos" w:hAnsi="Tinos" w:cs="Tinos"/>
          <w:sz w:val="26"/>
          <w:szCs w:val="26"/>
        </w:rPr>
        <w:t xml:space="preserve"> течение пятнадцати календарных дней со дня поступления копии предложения: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sz w:val="26"/>
          <w:szCs w:val="26"/>
        </w:rPr>
        <w:t xml:space="preserve">3.1. </w:t>
      </w:r>
      <w:r>
        <w:rPr>
          <w:rFonts w:ascii="Tinos" w:hAnsi="Tinos" w:cs="Tinos"/>
          <w:sz w:val="26"/>
          <w:szCs w:val="26"/>
        </w:rPr>
        <w:t xml:space="preserve">Структурные подразделения, указанные в подпунктах 2.1-2.5 пункта 2  Порядка, представляют в уполномоченный орган </w:t>
      </w:r>
      <w:r>
        <w:rPr>
          <w:rFonts w:ascii="Tinos" w:hAnsi="Tinos" w:cs="Tinos"/>
          <w:sz w:val="26"/>
          <w:szCs w:val="26"/>
        </w:rPr>
        <w:t xml:space="preserve">заключения.  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strike w:val="0"/>
          <w:sz w:val="26"/>
          <w:szCs w:val="26"/>
          <w:highlight w:val="none"/>
        </w:rPr>
      </w:pPr>
      <w:r>
        <w:rPr>
          <w:rFonts w:ascii="Tinos" w:hAnsi="Tinos" w:cs="Tinos"/>
          <w:strike w:val="0"/>
          <w:sz w:val="26"/>
          <w:szCs w:val="26"/>
          <w:highlight w:val="none"/>
        </w:rPr>
        <w:t xml:space="preserve">В заключениях, кроме оснований для отказа </w:t>
      </w:r>
      <w:r>
        <w:rPr>
          <w:rFonts w:ascii="Tinos" w:hAnsi="Tinos" w:cs="Tinos"/>
          <w:color w:val="auto"/>
          <w:sz w:val="26"/>
          <w:szCs w:val="26"/>
        </w:rPr>
        <w:t xml:space="preserve">в заключении концессионного соглашения</w:t>
      </w:r>
      <w:r>
        <w:rPr>
          <w:rFonts w:ascii="Tinos" w:hAnsi="Tinos" w:cs="Tinos"/>
          <w:strike w:val="0"/>
          <w:sz w:val="26"/>
          <w:szCs w:val="26"/>
          <w:highlight w:val="none"/>
        </w:rPr>
        <w:t xml:space="preserve">, предусмотренных пунктами 1-8, 10-11 части 4.6 статьи 37 Федерального закона №115-ФЗ</w:t>
      </w:r>
      <w:r>
        <w:rPr>
          <w:rFonts w:ascii="Tinos" w:hAnsi="Tinos" w:cs="Tinos"/>
          <w:strike w:val="0"/>
          <w:sz w:val="26"/>
          <w:szCs w:val="26"/>
          <w:highlight w:val="none"/>
        </w:rPr>
        <w:t xml:space="preserve">, д</w:t>
      </w:r>
      <w:r>
        <w:rPr>
          <w:rFonts w:ascii="Tinos" w:hAnsi="Tinos" w:cs="Tinos"/>
          <w:strike w:val="0"/>
          <w:sz w:val="26"/>
          <w:szCs w:val="26"/>
        </w:rPr>
        <w:t xml:space="preserve">олжны содержаться выводы о соответствии (несоответствии) проекта концессионного соглашения действующему законодательству, о возможности заключения к</w:t>
      </w:r>
      <w:r>
        <w:rPr>
          <w:rFonts w:ascii="Tinos" w:hAnsi="Tinos" w:cs="Tinos"/>
          <w:strike w:val="0"/>
          <w:sz w:val="26"/>
          <w:szCs w:val="26"/>
        </w:rPr>
        <w:t xml:space="preserve">онцессионного соглашения на представлен</w:t>
      </w:r>
      <w:r>
        <w:rPr>
          <w:rFonts w:ascii="Tinos" w:hAnsi="Tinos" w:cs="Tinos"/>
          <w:strike w:val="0"/>
          <w:sz w:val="26"/>
          <w:szCs w:val="26"/>
        </w:rPr>
        <w:t xml:space="preserve">ных в предложении условиях, возможности заключения концессионного соглашения на иных условиях, невозможности заключения концессионного соглашения на представленных в предложении условиях. 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strike w:val="0"/>
          <w:sz w:val="26"/>
          <w:szCs w:val="26"/>
        </w:rPr>
      </w:pPr>
      <w:r>
        <w:rPr>
          <w:rFonts w:ascii="Tinos" w:hAnsi="Tinos" w:cs="Tinos"/>
          <w:strike w:val="0"/>
          <w:sz w:val="26"/>
          <w:szCs w:val="26"/>
          <w:highlight w:val="none"/>
        </w:rPr>
        <w:t xml:space="preserve">3.2. Ю</w:t>
      </w:r>
      <w:r>
        <w:rPr>
          <w:rFonts w:ascii="Tinos" w:hAnsi="Tinos" w:cs="Tinos"/>
          <w:strike w:val="0"/>
          <w:sz w:val="26"/>
          <w:szCs w:val="26"/>
        </w:rPr>
        <w:t xml:space="preserve">ридическое управление администрации города представляет </w:t>
      </w:r>
      <w:r>
        <w:rPr>
          <w:rFonts w:ascii="Tinos" w:hAnsi="Tinos" w:cs="Tinos"/>
          <w:sz w:val="26"/>
          <w:szCs w:val="26"/>
        </w:rPr>
        <w:t xml:space="preserve">в уполномоченный орган</w:t>
      </w:r>
      <w:r>
        <w:rPr>
          <w:rFonts w:ascii="Tinos" w:hAnsi="Tinos" w:cs="Tinos"/>
          <w:strike w:val="0"/>
          <w:sz w:val="26"/>
          <w:szCs w:val="26"/>
        </w:rPr>
        <w:t xml:space="preserve"> результаты п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роведения правовой экспертизы </w:t>
      </w:r>
      <w:r>
        <w:rPr>
          <w:rFonts w:ascii="Tinos" w:hAnsi="Tinos" w:cs="Tinos"/>
          <w:strike w:val="0"/>
          <w:sz w:val="26"/>
          <w:szCs w:val="26"/>
        </w:rPr>
        <w:t xml:space="preserve">проекта концессионного соглашения</w:t>
      </w:r>
      <w:r>
        <w:rPr>
          <w:rFonts w:ascii="Tinos" w:hAnsi="Tinos" w:cs="Tinos"/>
          <w:sz w:val="26"/>
          <w:szCs w:val="26"/>
        </w:rPr>
        <w:t xml:space="preserve">.</w:t>
      </w:r>
      <w:r>
        <w:rPr>
          <w:rFonts w:ascii="Tinos" w:hAnsi="Tinos" w:cs="Tinos"/>
          <w:strike w:val="0"/>
          <w:sz w:val="26"/>
          <w:szCs w:val="26"/>
          <w:highlight w:val="none"/>
        </w:rPr>
      </w:r>
      <w:r/>
    </w:p>
    <w:p>
      <w:pPr>
        <w:pStyle w:val="837"/>
        <w:ind w:firstLine="540"/>
        <w:jc w:val="both"/>
        <w:rPr>
          <w:rFonts w:ascii="Tinos" w:hAnsi="Tinos" w:cs="Tinos"/>
          <w:b w:val="0"/>
          <w:bCs w:val="0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</w:rPr>
        <w:t xml:space="preserve">4. Уп</w:t>
      </w:r>
      <w:r>
        <w:rPr>
          <w:rFonts w:ascii="Tinos" w:hAnsi="Tinos" w:cs="Tinos"/>
          <w:sz w:val="26"/>
          <w:szCs w:val="26"/>
        </w:rPr>
        <w:t xml:space="preserve">олномоченный орган рассматривает предложение </w:t>
      </w:r>
      <w:r>
        <w:rPr>
          <w:rFonts w:ascii="Tinos" w:hAnsi="Tinos" w:cs="Tinos"/>
          <w:sz w:val="26"/>
          <w:szCs w:val="26"/>
        </w:rPr>
        <w:t xml:space="preserve">на предмет соответствия частям 4.1 - 4.2 статьи 37 Федерального закона №115-ФЗ, на наличие (отсутс</w:t>
      </w:r>
      <w:r>
        <w:rPr>
          <w:rFonts w:ascii="Tinos" w:hAnsi="Tinos" w:cs="Tinos"/>
          <w:sz w:val="26"/>
          <w:szCs w:val="26"/>
        </w:rPr>
        <w:t xml:space="preserve">твие) оснований для отказа</w:t>
      </w:r>
      <w:r>
        <w:rPr>
          <w:rFonts w:ascii="Tinos" w:hAnsi="Tinos" w:cs="Tinos"/>
          <w:color w:val="auto"/>
          <w:sz w:val="26"/>
          <w:szCs w:val="26"/>
        </w:rPr>
        <w:t xml:space="preserve"> в заключении концессионного соглашения</w:t>
      </w:r>
      <w:r>
        <w:rPr>
          <w:rFonts w:ascii="Tinos" w:hAnsi="Tinos" w:cs="Tinos"/>
          <w:sz w:val="26"/>
          <w:szCs w:val="26"/>
        </w:rPr>
        <w:t xml:space="preserve">, предусмотренных пунктами 1-11 части 4.6 статьи 37 Федерального закона №115-ФЗ, с учетом заключений, согласования, указанных в пункте 2 Порядка, и в течение десяти календарных дней со дня их поступления принимает одно из решений</w:t>
      </w:r>
      <w:r>
        <w:rPr>
          <w:rFonts w:ascii="Tinos" w:hAnsi="Tinos" w:cs="Tinos"/>
          <w:sz w:val="26"/>
          <w:szCs w:val="26"/>
        </w:rPr>
        <w:t xml:space="preserve">,</w:t>
      </w:r>
      <w:r>
        <w:rPr>
          <w:rFonts w:ascii="Tinos" w:hAnsi="Tinos" w:cs="Tinos"/>
          <w:b w:val="0"/>
          <w:bCs w:val="0"/>
          <w:sz w:val="26"/>
          <w:szCs w:val="26"/>
          <w:highlight w:val="none"/>
        </w:rPr>
        <w:t xml:space="preserve"> оформленным приказом уполномоченного органа:</w:t>
      </w:r>
      <w:r>
        <w:rPr>
          <w:rFonts w:ascii="Tinos" w:hAnsi="Tinos" w:cs="Tinos"/>
          <w:sz w:val="26"/>
          <w:szCs w:val="26"/>
        </w:rPr>
      </w:r>
      <w:r/>
    </w:p>
    <w:p>
      <w:pPr>
        <w:ind w:firstLine="540"/>
        <w:jc w:val="both"/>
        <w:widowControl w:val="off"/>
        <w:rPr>
          <w:rFonts w:ascii="Tinos" w:hAnsi="Tinos" w:cs="Tinos"/>
          <w:b w:val="0"/>
          <w:bCs w:val="0"/>
          <w:sz w:val="26"/>
          <w:szCs w:val="26"/>
          <w:highlight w:val="none"/>
        </w:rPr>
      </w:pPr>
      <w:r>
        <w:rPr>
          <w:rFonts w:ascii="Tinos" w:hAnsi="Tinos" w:cs="Tinos"/>
          <w:b w:val="0"/>
          <w:bCs w:val="0"/>
          <w:sz w:val="26"/>
          <w:szCs w:val="26"/>
          <w:highlight w:val="none"/>
        </w:rPr>
        <w:t xml:space="preserve">1) </w:t>
      </w:r>
      <w:r>
        <w:rPr>
          <w:rFonts w:ascii="Tinos" w:hAnsi="Tinos" w:cs="Tinos"/>
          <w:b w:val="0"/>
          <w:bCs w:val="0"/>
          <w:sz w:val="26"/>
          <w:szCs w:val="26"/>
          <w:highlight w:val="none"/>
        </w:rPr>
        <w:t xml:space="preserve">о </w:t>
      </w:r>
      <w:r>
        <w:rPr>
          <w:rFonts w:ascii="Tinos" w:hAnsi="Tinos" w:cs="Tinos"/>
          <w:b w:val="0"/>
          <w:bCs w:val="0"/>
          <w:sz w:val="26"/>
          <w:szCs w:val="26"/>
          <w:highlight w:val="none"/>
        </w:rPr>
        <w:t xml:space="preserve">возможности заключения концессионного соглашения на представленных в предложении о заключении концессионного соглашения условиях;</w:t>
      </w:r>
      <w:r>
        <w:rPr>
          <w:rFonts w:ascii="Tinos" w:hAnsi="Tinos" w:cs="Tinos"/>
          <w:sz w:val="26"/>
          <w:szCs w:val="26"/>
        </w:rPr>
      </w:r>
      <w:r/>
    </w:p>
    <w:p>
      <w:pPr>
        <w:ind w:firstLine="540"/>
        <w:jc w:val="both"/>
        <w:widowControl w:val="off"/>
        <w:rPr>
          <w:rFonts w:ascii="Tinos" w:hAnsi="Tinos" w:cs="Tinos"/>
          <w:b w:val="0"/>
          <w:bCs w:val="0"/>
          <w:sz w:val="26"/>
          <w:szCs w:val="26"/>
          <w:highlight w:val="none"/>
        </w:rPr>
      </w:pPr>
      <w:r>
        <w:rPr>
          <w:rFonts w:ascii="Tinos" w:hAnsi="Tinos" w:cs="Tinos"/>
          <w:b w:val="0"/>
          <w:bCs w:val="0"/>
          <w:sz w:val="26"/>
          <w:szCs w:val="26"/>
          <w:highlight w:val="none"/>
        </w:rPr>
      </w:r>
      <w:bookmarkStart w:id="0" w:name="Par951"/>
      <w:r>
        <w:rPr>
          <w:rFonts w:ascii="Tinos" w:hAnsi="Tinos" w:cs="Tinos"/>
          <w:b w:val="0"/>
          <w:bCs w:val="0"/>
          <w:sz w:val="26"/>
          <w:szCs w:val="26"/>
          <w:highlight w:val="none"/>
        </w:rPr>
      </w:r>
      <w:bookmarkEnd w:id="0"/>
      <w:r>
        <w:rPr>
          <w:rFonts w:ascii="Tinos" w:hAnsi="Tinos" w:cs="Tinos"/>
          <w:b w:val="0"/>
          <w:bCs w:val="0"/>
          <w:sz w:val="26"/>
          <w:szCs w:val="26"/>
          <w:highlight w:val="none"/>
        </w:rPr>
        <w:t xml:space="preserve">2) о возможности заключения концессионного соглашения на иных условиях;</w:t>
      </w:r>
      <w:r>
        <w:rPr>
          <w:rFonts w:ascii="Tinos" w:hAnsi="Tinos" w:cs="Tinos"/>
          <w:sz w:val="26"/>
          <w:szCs w:val="26"/>
        </w:rPr>
      </w:r>
      <w:r/>
    </w:p>
    <w:p>
      <w:pPr>
        <w:ind w:firstLine="540"/>
        <w:jc w:val="both"/>
        <w:widowControl w:val="off"/>
        <w:rPr>
          <w:rFonts w:ascii="Tinos" w:hAnsi="Tinos" w:cs="Tinos"/>
          <w:b w:val="0"/>
          <w:bCs w:val="0"/>
          <w:sz w:val="26"/>
          <w:szCs w:val="26"/>
          <w:highlight w:val="none"/>
        </w:rPr>
      </w:pPr>
      <w:r>
        <w:rPr>
          <w:rFonts w:ascii="Tinos" w:hAnsi="Tinos" w:cs="Tinos"/>
          <w:b w:val="0"/>
          <w:bCs w:val="0"/>
          <w:sz w:val="26"/>
          <w:szCs w:val="26"/>
          <w:highlight w:val="none"/>
        </w:rPr>
        <w:t xml:space="preserve">3) о невозможности заключения концессионного соглашения с указанием основания отказа </w:t>
      </w:r>
      <w:r>
        <w:rPr>
          <w:rFonts w:ascii="Tinos" w:hAnsi="Tinos" w:cs="Tinos"/>
          <w:color w:val="auto"/>
          <w:sz w:val="26"/>
          <w:szCs w:val="26"/>
        </w:rPr>
        <w:t xml:space="preserve">в заключении концессионного соглашения</w:t>
      </w:r>
      <w:r>
        <w:rPr>
          <w:rFonts w:ascii="Tinos" w:hAnsi="Tinos" w:cs="Tinos"/>
          <w:b w:val="0"/>
          <w:bCs w:val="0"/>
          <w:sz w:val="26"/>
          <w:szCs w:val="26"/>
          <w:highlight w:val="none"/>
        </w:rPr>
        <w:t xml:space="preserve">.</w:t>
      </w:r>
      <w:r>
        <w:rPr>
          <w:rFonts w:ascii="Tinos" w:hAnsi="Tinos" w:cs="Tinos"/>
          <w:sz w:val="26"/>
          <w:szCs w:val="26"/>
        </w:rPr>
      </w:r>
      <w:r/>
    </w:p>
    <w:p>
      <w:pPr>
        <w:ind w:firstLine="540"/>
        <w:jc w:val="both"/>
        <w:widowControl w:val="off"/>
        <w:rPr>
          <w:rFonts w:ascii="Tinos" w:hAnsi="Tinos" w:cs="Tinos"/>
          <w:b w:val="0"/>
          <w:bCs w:val="0"/>
          <w:sz w:val="26"/>
          <w:szCs w:val="26"/>
          <w:highlight w:val="none"/>
        </w:rPr>
      </w:pPr>
      <w:r>
        <w:rPr>
          <w:rFonts w:ascii="Tinos" w:hAnsi="Tinos" w:cs="Tinos"/>
          <w:b w:val="0"/>
          <w:bCs w:val="0"/>
          <w:sz w:val="26"/>
          <w:szCs w:val="26"/>
          <w:highlight w:val="none"/>
        </w:rPr>
        <w:t xml:space="preserve">В срок, не превышающий десяти дней со дня принятия одного из предусмотренных  настоящ</w:t>
      </w:r>
      <w:r>
        <w:rPr>
          <w:rFonts w:ascii="Tinos" w:hAnsi="Tinos" w:cs="Tinos"/>
          <w:b w:val="0"/>
          <w:bCs w:val="0"/>
          <w:sz w:val="26"/>
          <w:szCs w:val="26"/>
          <w:highlight w:val="none"/>
        </w:rPr>
        <w:t xml:space="preserve">им</w:t>
      </w:r>
      <w:r>
        <w:rPr>
          <w:rFonts w:ascii="Tinos" w:hAnsi="Tinos" w:cs="Tinos"/>
          <w:b w:val="0"/>
          <w:bCs w:val="0"/>
          <w:sz w:val="26"/>
          <w:szCs w:val="26"/>
          <w:highlight w:val="none"/>
        </w:rPr>
        <w:t xml:space="preserve"> </w:t>
      </w:r>
      <w:r>
        <w:rPr>
          <w:rFonts w:ascii="Tinos" w:hAnsi="Tinos" w:cs="Tinos"/>
          <w:b w:val="0"/>
          <w:bCs w:val="0"/>
          <w:sz w:val="26"/>
          <w:szCs w:val="26"/>
          <w:highlight w:val="none"/>
        </w:rPr>
        <w:t xml:space="preserve">пунктом</w:t>
      </w:r>
      <w:r>
        <w:rPr>
          <w:rFonts w:ascii="Tinos" w:hAnsi="Tinos" w:cs="Tinos"/>
          <w:b w:val="0"/>
          <w:bCs w:val="0"/>
          <w:sz w:val="26"/>
          <w:szCs w:val="26"/>
          <w:highlight w:val="none"/>
        </w:rPr>
        <w:t xml:space="preserve"> </w:t>
      </w:r>
      <w:r>
        <w:rPr>
          <w:rFonts w:ascii="Tinos" w:hAnsi="Tinos" w:cs="Tinos"/>
          <w:b w:val="0"/>
          <w:bCs w:val="0"/>
          <w:sz w:val="26"/>
          <w:szCs w:val="26"/>
          <w:highlight w:val="none"/>
        </w:rPr>
        <w:t xml:space="preserve">Порядка </w:t>
      </w:r>
      <w:r>
        <w:rPr>
          <w:rFonts w:ascii="Tinos" w:hAnsi="Tinos" w:cs="Tinos"/>
          <w:b w:val="0"/>
          <w:bCs w:val="0"/>
          <w:sz w:val="26"/>
          <w:szCs w:val="26"/>
          <w:highlight w:val="none"/>
        </w:rPr>
        <w:t xml:space="preserve">решений, </w:t>
      </w:r>
      <w:r>
        <w:rPr>
          <w:rFonts w:ascii="Tinos" w:hAnsi="Tinos" w:cs="Tinos"/>
          <w:b w:val="0"/>
          <w:bCs w:val="0"/>
          <w:sz w:val="26"/>
          <w:szCs w:val="26"/>
          <w:highlight w:val="none"/>
        </w:rPr>
        <w:t xml:space="preserve">уполномоченный </w:t>
      </w:r>
      <w:r>
        <w:rPr>
          <w:rFonts w:ascii="Tinos" w:hAnsi="Tinos" w:cs="Tinos"/>
          <w:b w:val="0"/>
          <w:bCs w:val="0"/>
          <w:sz w:val="26"/>
          <w:szCs w:val="26"/>
          <w:highlight w:val="none"/>
        </w:rPr>
        <w:t xml:space="preserve">орган направляет его </w:t>
      </w:r>
      <w:r>
        <w:rPr>
          <w:rFonts w:ascii="Tinos" w:hAnsi="Tinos" w:cs="Tinos"/>
          <w:b w:val="0"/>
          <w:bCs w:val="0"/>
          <w:sz w:val="26"/>
          <w:szCs w:val="26"/>
          <w:highlight w:val="none"/>
        </w:rPr>
        <w:t xml:space="preserve">инициатору</w:t>
      </w:r>
      <w:r>
        <w:rPr>
          <w:rFonts w:ascii="Tinos" w:hAnsi="Tinos" w:cs="Tinos"/>
          <w:b w:val="0"/>
          <w:bCs w:val="0"/>
          <w:sz w:val="26"/>
          <w:szCs w:val="26"/>
          <w:highlight w:val="none"/>
        </w:rPr>
        <w:t xml:space="preserve">.</w:t>
      </w:r>
      <w:r>
        <w:rPr>
          <w:rFonts w:ascii="Tinos" w:hAnsi="Tinos" w:cs="Tinos"/>
          <w:sz w:val="26"/>
          <w:szCs w:val="26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b w:val="0"/>
          <w:bCs w:val="0"/>
          <w:sz w:val="26"/>
          <w:szCs w:val="26"/>
          <w:highlight w:val="none"/>
        </w:rPr>
        <w:t xml:space="preserve">5. </w:t>
      </w:r>
      <w:r>
        <w:rPr>
          <w:rFonts w:ascii="Tinos" w:hAnsi="Tinos" w:cs="Tinos"/>
          <w:b w:val="0"/>
          <w:bCs w:val="0"/>
          <w:color w:val="000000"/>
          <w:sz w:val="26"/>
          <w:szCs w:val="26"/>
          <w:highlight w:val="none"/>
        </w:rPr>
        <w:t xml:space="preserve">В случае принятия решения</w:t>
      </w:r>
      <w:r>
        <w:rPr>
          <w:rFonts w:ascii="Tinos" w:hAnsi="Tinos" w:cs="Tinos"/>
          <w:b w:val="0"/>
          <w:bCs w:val="0"/>
          <w:color w:val="000000"/>
          <w:sz w:val="26"/>
          <w:szCs w:val="26"/>
          <w:highlight w:val="none"/>
        </w:rPr>
        <w:t xml:space="preserve">, предусмотренного подпунктом 1) пункта 4 Порядка,</w:t>
      </w:r>
      <w:r>
        <w:rPr>
          <w:rFonts w:ascii="Tinos" w:hAnsi="Tinos" w:cs="Tinos"/>
          <w:b w:val="0"/>
          <w:bCs w:val="0"/>
          <w:color w:val="000000"/>
          <w:sz w:val="26"/>
          <w:szCs w:val="26"/>
          <w:highlight w:val="none"/>
        </w:rPr>
        <w:t xml:space="preserve"> уполномоченный орган  в десятидневный срок со дня принятия такого решения размещает на официальном сайте Российской Федерации в информационно-телекоммуникационной сети "Интернет" для размещения </w:t>
      </w:r>
      <w:r>
        <w:rPr>
          <w:rFonts w:ascii="Tinos" w:hAnsi="Tinos" w:cs="Tinos"/>
          <w:b w:val="0"/>
          <w:bCs w:val="0"/>
          <w:color w:val="000000"/>
          <w:sz w:val="26"/>
          <w:szCs w:val="26"/>
          <w:highlight w:val="none"/>
        </w:rPr>
        <w:t xml:space="preserve">информации о проведении торгов, определенном Правительством Российской Федерации (www.torgi.gov.ru) (далее – сайт торгов) такое решение и предложение о заключении концессионного соглашения одновременно с проектом концессионного соглашения в целях принятия </w:t>
      </w:r>
      <w:hyperlink r:id="rId12" w:tooltip="https://login.consultant.ru/link/?req=doc&amp;base=LAW&amp;n=457426&amp;dst=100011&amp;field=134&amp;date=29.01.2024" w:history="1">
        <w:r>
          <w:rPr>
            <w:rStyle w:val="819"/>
            <w:rFonts w:ascii="Tinos" w:hAnsi="Tinos" w:cs="Tinos"/>
            <w:b w:val="0"/>
            <w:bCs w:val="0"/>
            <w:color w:val="000000"/>
            <w:sz w:val="26"/>
            <w:szCs w:val="26"/>
            <w:highlight w:val="none"/>
            <w:u w:val="none"/>
          </w:rPr>
          <w:t xml:space="preserve">заявок</w:t>
        </w:r>
      </w:hyperlink>
      <w:r>
        <w:rPr>
          <w:rFonts w:ascii="Tinos" w:hAnsi="Tinos" w:cs="Tinos"/>
          <w:b w:val="0"/>
          <w:bCs w:val="0"/>
          <w:color w:val="000000"/>
          <w:sz w:val="26"/>
          <w:szCs w:val="26"/>
          <w:highlight w:val="none"/>
        </w:rPr>
        <w:t xml:space="preserve"> </w:t>
      </w:r>
      <w:r>
        <w:rPr>
          <w:rFonts w:ascii="Tinos" w:hAnsi="Tinos" w:eastAsia="Times New Roman" w:cs="Tinos"/>
          <w:b w:val="0"/>
          <w:bCs w:val="0"/>
          <w:color w:val="000000"/>
          <w:sz w:val="26"/>
          <w:szCs w:val="26"/>
          <w:highlight w:val="none"/>
        </w:rPr>
        <w:t xml:space="preserve">о</w:t>
      </w:r>
      <w:r>
        <w:rPr>
          <w:rFonts w:ascii="Tinos" w:hAnsi="Tinos" w:eastAsia="Times New Roman" w:cs="Tinos"/>
          <w:b w:val="0"/>
          <w:bCs w:val="0"/>
          <w:color w:val="000000"/>
          <w:sz w:val="26"/>
          <w:szCs w:val="26"/>
          <w:highlight w:val="none"/>
        </w:rPr>
        <w:t xml:space="preserve"> готовности к участию в конкурсе на заключение концессионного соглашения на условиях, определенных в этом проекте концессионного соглашения, в отношении объекта концессионного соглашения, предусмотренного в предложении о заключении концессионного соглашен</w:t>
      </w:r>
      <w:r>
        <w:rPr>
          <w:rFonts w:ascii="Tinos" w:hAnsi="Tinos" w:eastAsia="Times New Roman" w:cs="Tinos"/>
          <w:b w:val="0"/>
          <w:bCs w:val="0"/>
          <w:color w:val="000000"/>
          <w:sz w:val="26"/>
          <w:szCs w:val="26"/>
          <w:highlight w:val="none"/>
        </w:rPr>
        <w:t xml:space="preserve">ия (далее – заявка),</w:t>
      </w:r>
      <w:r>
        <w:rPr>
          <w:rFonts w:ascii="Tinos" w:hAnsi="Tinos" w:eastAsia="Times New Roman" w:cs="Tinos"/>
          <w:b w:val="0"/>
          <w:bCs w:val="0"/>
          <w:color w:val="000000"/>
          <w:sz w:val="26"/>
          <w:szCs w:val="26"/>
          <w:highlight w:val="none"/>
        </w:rPr>
        <w:t xml:space="preserve"> </w:t>
      </w:r>
      <w:r>
        <w:rPr>
          <w:rFonts w:ascii="Tinos" w:hAnsi="Tinos" w:cs="Tinos"/>
          <w:b w:val="0"/>
          <w:bCs w:val="0"/>
          <w:color w:val="000000"/>
          <w:sz w:val="26"/>
          <w:szCs w:val="26"/>
          <w:highlight w:val="none"/>
        </w:rPr>
        <w:t xml:space="preserve">от иных лиц,</w:t>
      </w:r>
      <w:r>
        <w:rPr>
          <w:rFonts w:ascii="Tinos" w:hAnsi="Tinos" w:cs="Tinos"/>
          <w:color w:val="000000"/>
          <w:sz w:val="26"/>
          <w:szCs w:val="26"/>
        </w:rPr>
        <w:t xml:space="preserve"> отвечающих требованиям, предъявляемым к концессионеру в соответствии с Федеральным законом №115-ФЗ, а также требованиям, предъявляемым в соответствии с </w:t>
      </w:r>
      <w:hyperlink r:id="rId13" w:tooltip="https://login.consultant.ru/link/?req=doc&amp;base=LAW&amp;n=451991&amp;dst=199&amp;field=134&amp;date=29.01.2024" w:history="1">
        <w:r>
          <w:rPr>
            <w:rStyle w:val="819"/>
            <w:rFonts w:ascii="Tinos" w:hAnsi="Tinos" w:cs="Tinos"/>
            <w:color w:val="000000"/>
            <w:sz w:val="26"/>
            <w:szCs w:val="26"/>
            <w:u w:val="none"/>
          </w:rPr>
          <w:t xml:space="preserve">частью 4.1</w:t>
        </w:r>
      </w:hyperlink>
      <w:r>
        <w:rPr>
          <w:rFonts w:ascii="Tinos" w:hAnsi="Tinos" w:cs="Tinos"/>
          <w:color w:val="000000"/>
          <w:sz w:val="26"/>
          <w:szCs w:val="26"/>
        </w:rPr>
        <w:t xml:space="preserve"> статьи 37 Федерального закона №115-ФЗ к </w:t>
      </w:r>
      <w:r>
        <w:rPr>
          <w:rFonts w:ascii="Tinos" w:hAnsi="Tinos" w:cs="Tinos"/>
          <w:color w:val="000000"/>
          <w:sz w:val="26"/>
          <w:szCs w:val="26"/>
        </w:rPr>
        <w:t xml:space="preserve">инициатору </w:t>
      </w:r>
      <w:r>
        <w:rPr>
          <w:rFonts w:ascii="Tinos" w:hAnsi="Tinos" w:cs="Tinos"/>
          <w:color w:val="000000"/>
          <w:sz w:val="26"/>
          <w:szCs w:val="26"/>
        </w:rPr>
        <w:t xml:space="preserve">(далее - иное лицо, представляющее заявку о готовности к участию в конкурсе на заключение концессионного соглашения). 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67"/>
        <w:jc w:val="both"/>
        <w:spacing w:line="180" w:lineRule="atLeast"/>
        <w:rPr>
          <w:rFonts w:ascii="Tinos" w:hAnsi="Tinos" w:cs="Tinos"/>
          <w:b w:val="0"/>
          <w:bCs w:val="0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color w:val="000000"/>
          <w:sz w:val="26"/>
          <w:szCs w:val="26"/>
        </w:rPr>
        <w:t xml:space="preserve">6. 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В случае принятия решения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, предусмотренного подпунктом 2) пункта 4 Порядка, 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 упол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номоченный орган проводит переговоры в форме совместных совещаний с </w:t>
      </w:r>
      <w:r>
        <w:rPr>
          <w:rFonts w:ascii="Tinos" w:hAnsi="Tinos" w:eastAsia="Times New Roman" w:cs="Tinos"/>
          <w:b w:val="0"/>
          <w:bCs w:val="0"/>
          <w:color w:val="000000"/>
          <w:sz w:val="26"/>
          <w:szCs w:val="26"/>
          <w:highlight w:val="none"/>
        </w:rPr>
        <w:t xml:space="preserve">инициатором</w:t>
      </w:r>
      <w:r>
        <w:rPr>
          <w:rFonts w:ascii="Tinos" w:hAnsi="Tinos" w:eastAsia="Times New Roman" w:cs="Tinos"/>
          <w:b w:val="0"/>
          <w:bCs w:val="0"/>
          <w:color w:val="000000"/>
          <w:sz w:val="26"/>
          <w:szCs w:val="26"/>
          <w:highlight w:val="none"/>
        </w:rPr>
        <w:t xml:space="preserve">, с участием (при необходимости) лиц, указанных в пункте 2 настоящего Порядка, в целях обсуждения условий концессионного соглашения и их согласования по результатам переговоров. 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67"/>
        <w:jc w:val="both"/>
        <w:spacing w:line="180" w:lineRule="atLeast"/>
        <w:rPr>
          <w:rFonts w:ascii="Tinos" w:hAnsi="Tinos" w:cs="Tinos"/>
          <w:b w:val="0"/>
          <w:bCs w:val="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mes New Roman" w:cs="Tinos"/>
          <w:b w:val="0"/>
          <w:bCs w:val="0"/>
          <w:color w:val="000000"/>
          <w:sz w:val="26"/>
          <w:szCs w:val="26"/>
          <w:highlight w:val="none"/>
        </w:rPr>
      </w:r>
      <w:r>
        <w:rPr>
          <w:rFonts w:ascii="Tinos" w:hAnsi="Tinos" w:eastAsia="Times New Roman" w:cs="Tinos"/>
          <w:b w:val="0"/>
          <w:bCs w:val="0"/>
          <w:color w:val="000000"/>
          <w:sz w:val="26"/>
          <w:szCs w:val="26"/>
          <w:highlight w:val="none"/>
        </w:rPr>
        <w:t xml:space="preserve">Срок и порядок проведения указанных переговоров определяются  уполномоченным органом в решении о возможности заключения концессионного соглашения на иных условиях. 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spacing w:line="180" w:lineRule="atLeast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mes New Roman" w:cs="Tinos"/>
          <w:color w:val="000000"/>
          <w:sz w:val="26"/>
          <w:szCs w:val="26"/>
        </w:rPr>
        <w:t xml:space="preserve">По резуль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татам переговоров инициатор представляет в уполномоченный орган измененное предложение о заключении концессионного соглашения и измененный проект концессионного соглашения, которые подлежат рассмотрению уполномоченным органом в течение десяти рабочих дней.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spacing w:line="180" w:lineRule="atLeast"/>
        <w:rPr>
          <w:rFonts w:ascii="Tinos" w:hAnsi="Tinos" w:cs="Tinos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mes New Roman" w:cs="Tinos"/>
          <w:color w:val="000000"/>
          <w:sz w:val="26"/>
          <w:szCs w:val="26"/>
        </w:rPr>
        <w:t xml:space="preserve">6.1. В случае согласования уполномоченным органом измененного предложения о заключении концессионного соглашения и измененного проекта концессионного соглашения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,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 уполном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оченный орган принимает решение о возможности заключения концессионного соглашения на условиях, предусмотренных измененным предложением о заключении концессионного соглашения и измененным проектом концессионного соглашения, с инициатором, </w:t>
      </w:r>
      <w:r>
        <w:rPr>
          <w:rFonts w:ascii="Tinos" w:hAnsi="Tinos" w:eastAsia="Times New Roman" w:cs="Tinos"/>
          <w:color w:val="000000"/>
          <w:sz w:val="26"/>
          <w:szCs w:val="26"/>
          <w:highlight w:val="none"/>
        </w:rPr>
        <w:t xml:space="preserve">и в десятидневный</w:t>
      </w:r>
      <w:r>
        <w:rPr>
          <w:rFonts w:ascii="Tinos" w:hAnsi="Tinos" w:eastAsia="Times New Roman" w:cs="Tinos"/>
          <w:color w:val="000000"/>
          <w:sz w:val="26"/>
          <w:szCs w:val="26"/>
          <w:highlight w:val="none"/>
        </w:rPr>
        <w:t xml:space="preserve"> срок</w:t>
      </w:r>
      <w:r>
        <w:rPr>
          <w:rFonts w:ascii="Tinos" w:hAnsi="Tinos" w:eastAsia="Times New Roman" w:cs="Tinos"/>
          <w:b w:val="0"/>
          <w:bCs w:val="0"/>
          <w:color w:val="000000"/>
          <w:sz w:val="26"/>
          <w:szCs w:val="26"/>
          <w:highlight w:val="none"/>
        </w:rPr>
        <w:t xml:space="preserve"> </w:t>
      </w:r>
      <w:r>
        <w:rPr>
          <w:rFonts w:ascii="Tinos" w:hAnsi="Tinos" w:eastAsia="Times New Roman" w:cs="Tinos"/>
          <w:b w:val="0"/>
          <w:bCs w:val="0"/>
          <w:color w:val="000000"/>
          <w:sz w:val="26"/>
          <w:szCs w:val="26"/>
          <w:highlight w:val="none"/>
        </w:rPr>
        <w:t xml:space="preserve">с даты принятия указанного решения </w:t>
      </w:r>
      <w:r>
        <w:rPr>
          <w:rFonts w:ascii="Tinos" w:hAnsi="Tinos" w:eastAsia="Times New Roman" w:cs="Tinos"/>
          <w:b w:val="0"/>
          <w:bCs w:val="0"/>
          <w:color w:val="000000"/>
          <w:sz w:val="26"/>
          <w:szCs w:val="26"/>
          <w:highlight w:val="none"/>
        </w:rPr>
        <w:t xml:space="preserve">размещает данное решение и предложение</w:t>
      </w:r>
      <w:r>
        <w:rPr>
          <w:rFonts w:ascii="Tinos" w:hAnsi="Tinos" w:eastAsia="Times New Roman" w:cs="Tinos"/>
          <w:color w:val="000000"/>
          <w:sz w:val="26"/>
          <w:szCs w:val="26"/>
          <w:highlight w:val="none"/>
        </w:rPr>
        <w:t xml:space="preserve"> одновременно с измененным проектом концессионного соглашения на сайте торгов в целях принятия заявок от иных лиц, представляющих заявки о готовности к участию в конкурсе на заключение концессионного соглашения. 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spacing w:line="180" w:lineRule="atLeast"/>
        <w:rPr>
          <w:rFonts w:ascii="Tinos" w:hAnsi="Tinos" w:cs="Tinos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mes New Roman" w:cs="Tinos"/>
          <w:color w:val="000000"/>
          <w:sz w:val="26"/>
          <w:szCs w:val="26"/>
          <w:highlight w:val="none"/>
        </w:rPr>
        <w:t xml:space="preserve">В решении, принимаемом уполномоченным органом в соответствии с настоящим пунктом, указывается в том числе информация о месте и сроке представления заявок о готовности к участию в конкурсе на заключение концессионного соглашения.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spacing w:line="180" w:lineRule="atLeast"/>
        <w:rPr>
          <w:rFonts w:ascii="Tinos" w:hAnsi="Tinos" w:cs="Tinos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mes New Roman" w:cs="Tinos"/>
          <w:color w:val="000000"/>
          <w:sz w:val="26"/>
          <w:szCs w:val="26"/>
          <w:highlight w:val="none"/>
        </w:rPr>
        <w:t xml:space="preserve">6.2. В случае несогласования уполномоченным органом измененного предложения о заключении концессионного соглашения и (или) измененного проекта концессионного соглашения, уполномоченный орган принимает одно из следующих решений: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spacing w:line="180" w:lineRule="atLeast"/>
        <w:rPr>
          <w:rFonts w:ascii="Tinos" w:hAnsi="Tinos" w:cs="Tinos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mes New Roman" w:cs="Tinos"/>
          <w:color w:val="000000"/>
          <w:sz w:val="26"/>
          <w:szCs w:val="26"/>
          <w:highlight w:val="none"/>
        </w:rPr>
        <w:t xml:space="preserve">1) о повторном проведении переговоров в форме совместного совещания с инициатором, в целях обсуждения условий концессионного соглашения и их согласования по результатам переговоров в порядке, </w:t>
      </w:r>
      <w:r>
        <w:rPr>
          <w:rFonts w:ascii="Tinos" w:hAnsi="Tinos" w:eastAsia="Times New Roman" w:cs="Tinos"/>
          <w:color w:val="000000"/>
          <w:sz w:val="26"/>
          <w:szCs w:val="26"/>
          <w:highlight w:val="none"/>
        </w:rPr>
        <w:t xml:space="preserve">установленном приказом уполномоченного органа;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spacing w:line="180" w:lineRule="atLeast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mes New Roman" w:cs="Tinos"/>
          <w:color w:val="000000"/>
          <w:sz w:val="26"/>
          <w:szCs w:val="26"/>
          <w:highlight w:val="none"/>
        </w:rPr>
        <w:t xml:space="preserve">2) о невозможности заключения концессионного соглашения на условиях, представленных в измененном предложении о заключении концессионного соглашения, с 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указанием причин отказа </w:t>
      </w:r>
      <w:r>
        <w:rPr>
          <w:rFonts w:ascii="Tinos" w:hAnsi="Tinos" w:cs="Tinos"/>
          <w:color w:val="auto"/>
          <w:sz w:val="26"/>
          <w:szCs w:val="26"/>
        </w:rPr>
        <w:t xml:space="preserve">в заключении концессионного соглашения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.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spacing w:line="180" w:lineRule="atLeast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color w:val="000000"/>
          <w:sz w:val="26"/>
          <w:szCs w:val="26"/>
        </w:rPr>
        <w:t xml:space="preserve">6.3.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 В случае, если измененным проектом концессионного соглашения предусматривается увеличение объема заявленных в проекте концессионного соглашения инвестиций, 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инициатором 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представл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яются документально подтвержденные сведения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 концессионного соглашения.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spacing w:line="180" w:lineRule="atLeast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color w:val="000000"/>
          <w:sz w:val="26"/>
          <w:szCs w:val="26"/>
        </w:rPr>
        <w:t xml:space="preserve">7.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 В случае, если в сорокапятидневный срок со дня размещения предложения о заключении концессионного соглашения на сайте торгов поступили заявки от иных лиц, представляющих заявки о готовности к учас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тию в конкурсе на заключение концессионного соглашения, уполномоченный орган в срок не более десяти рабочих дней после истечения срока, установленного настоящим пунктом, рассматривает такие заявки на предмет их соответствия требованиям, предъявляемым к фор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ме такой заявки, а также соответствия лиц, представивших такие заявки, требованиям, предъявляемым в соответствии с Федеральным законом №115-ФЗ к концессионеру и иным лицам, представляющим заявки о готовности к участию в конкурсе на заключение концессионног</w:t>
      </w:r>
      <w:r>
        <w:rPr>
          <w:rFonts w:ascii="Tinos" w:hAnsi="Tinos" w:eastAsia="Times New Roman" w:cs="Tinos"/>
          <w:color w:val="000000"/>
          <w:sz w:val="26"/>
          <w:szCs w:val="26"/>
        </w:rPr>
        <w:t xml:space="preserve">о соглашения, и по результатам их рассмотрения составляет протокол рассмотрения заявок о готовности к участию в конкурсе на заключение концессионного соглашения и размещает данный протокол на сайте торгов в течение трех рабочих дней со дня его подписания. </w:t>
      </w:r>
      <w:r>
        <w:rPr>
          <w:rFonts w:ascii="Tinos" w:hAnsi="Tinos" w:cs="Tinos"/>
          <w:sz w:val="26"/>
          <w:szCs w:val="26"/>
        </w:rPr>
      </w:r>
      <w:r/>
    </w:p>
    <w:p>
      <w:pPr>
        <w:ind w:firstLine="567"/>
        <w:jc w:val="both"/>
        <w:spacing w:line="180" w:lineRule="atLeast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color w:val="000000"/>
          <w:sz w:val="26"/>
          <w:szCs w:val="26"/>
        </w:rPr>
        <w:t xml:space="preserve">7.1. В случае, если уполномоченным органом  по результатам рассмотрения заявок о готовности к участию в конкурсе на </w:t>
      </w:r>
      <w:r>
        <w:rPr>
          <w:rFonts w:ascii="Tinos" w:hAnsi="Tinos" w:cs="Tinos"/>
          <w:color w:val="000000"/>
          <w:sz w:val="26"/>
          <w:szCs w:val="26"/>
        </w:rPr>
        <w:t xml:space="preserve">заключение концессионного соглашения установлено несоответствие лиц, представивших такие заявки, требованиям, предъявляемым в соответствии с Федеральным законом №115-ФЗ к концессионеру и иным лицам, представляющим заявки о готовности к участию в конкурсе н</w:t>
      </w:r>
      <w:r>
        <w:rPr>
          <w:rFonts w:ascii="Tinos" w:hAnsi="Tinos" w:cs="Tinos"/>
          <w:color w:val="000000"/>
          <w:sz w:val="26"/>
          <w:szCs w:val="26"/>
        </w:rPr>
        <w:t xml:space="preserve">а заключение концессионного соглашения, и (или) установлено несоответствие представленных этими лицами заявок о готовности к участию в конкурсе на заключение концессионного соглашения требованиям, предъявляемым к форме такой заявки, концессионное соглашени</w:t>
      </w:r>
      <w:r>
        <w:rPr>
          <w:rFonts w:ascii="Tinos" w:hAnsi="Tinos" w:cs="Tinos"/>
          <w:color w:val="000000"/>
          <w:sz w:val="26"/>
          <w:szCs w:val="26"/>
        </w:rPr>
        <w:t xml:space="preserve">е заключается на условиях, предусмотренных в предложении и проекте концессионного соглашения (измененном проекте концессионного соглашения), без проведения конкурса в порядке, установленном Федеральным законом №115-ФЗ, с учетом особенностей, установленных </w:t>
      </w:r>
      <w:r>
        <w:rPr>
          <w:rFonts w:ascii="Tinos" w:hAnsi="Tinos" w:cs="Tinos"/>
          <w:sz w:val="26"/>
          <w:szCs w:val="26"/>
        </w:rPr>
        <w:t xml:space="preserve">частью 4.10</w:t>
      </w:r>
      <w:r>
        <w:rPr>
          <w:rFonts w:ascii="Tinos" w:hAnsi="Tinos" w:cs="Tinos"/>
          <w:sz w:val="26"/>
          <w:szCs w:val="26"/>
          <w:highlight w:val="none"/>
        </w:rPr>
        <w:t xml:space="preserve"> статьи 37 </w:t>
      </w:r>
      <w:r>
        <w:rPr>
          <w:rFonts w:ascii="Tinos" w:hAnsi="Tinos" w:cs="Tinos"/>
          <w:sz w:val="26"/>
          <w:szCs w:val="26"/>
          <w:highlight w:val="none"/>
        </w:rPr>
        <w:t xml:space="preserve">Фед</w:t>
      </w:r>
      <w:r>
        <w:rPr>
          <w:rFonts w:ascii="Tinos" w:hAnsi="Tinos" w:cs="Tinos"/>
          <w:sz w:val="26"/>
          <w:szCs w:val="26"/>
        </w:rPr>
        <w:t xml:space="preserve">ерального закона №115-ФЗ.</w:t>
      </w:r>
      <w:r>
        <w:rPr>
          <w:rFonts w:ascii="Tinos" w:hAnsi="Tinos" w:cs="Tinos"/>
          <w:sz w:val="26"/>
          <w:szCs w:val="26"/>
        </w:rPr>
      </w:r>
      <w:r/>
    </w:p>
    <w:p>
      <w:pPr>
        <w:ind w:firstLine="567"/>
        <w:jc w:val="both"/>
        <w:spacing w:line="180" w:lineRule="atLeast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color w:val="000000"/>
          <w:sz w:val="26"/>
          <w:szCs w:val="26"/>
        </w:rPr>
        <w:t xml:space="preserve">7.2. В случае, если уполномоченным органом  по результатам рассмотрения заявок о готовности к участ</w:t>
      </w:r>
      <w:r>
        <w:rPr>
          <w:rFonts w:ascii="Tinos" w:hAnsi="Tinos" w:cs="Tinos"/>
          <w:color w:val="000000"/>
          <w:sz w:val="26"/>
          <w:szCs w:val="26"/>
        </w:rPr>
        <w:t xml:space="preserve">ию в конкурсе на заключение концессионного соглашения установлено, что хотя бы одно лицо, представившее такую заявку, соответствует требованиям, предъявляемым в соответствии с Федеральным законом №115-ФЗ к концессионеру и иным лицам, представляющим заявки </w:t>
      </w:r>
      <w:r>
        <w:rPr>
          <w:rFonts w:ascii="Tinos" w:hAnsi="Tinos" w:cs="Tinos"/>
          <w:color w:val="000000"/>
          <w:sz w:val="26"/>
          <w:szCs w:val="26"/>
        </w:rPr>
        <w:t xml:space="preserve">о готовности к участию в конкурсе на заключение концессионного соглашения, и представленная им заявка о готовности к участию в конкурсе на заключение концессионного соглашения соответствует требованиям, предъявляемым к форме такой заявки, не позднее чем че</w:t>
      </w:r>
      <w:r>
        <w:rPr>
          <w:rFonts w:ascii="Tinos" w:hAnsi="Tinos" w:cs="Tinos"/>
          <w:color w:val="000000"/>
          <w:sz w:val="26"/>
          <w:szCs w:val="26"/>
        </w:rPr>
        <w:t xml:space="preserve">рез сорок пять рабочих дней со дня подписания протокола рассмотрения заявок о готовности к участию в конкурсе на заключение концессионного соглашения</w:t>
      </w:r>
      <w:r>
        <w:rPr>
          <w:rFonts w:ascii="Tinos" w:hAnsi="Tinos" w:cs="Tinos"/>
          <w:b/>
          <w:bCs/>
          <w:color w:val="000000"/>
          <w:sz w:val="26"/>
          <w:szCs w:val="26"/>
        </w:rPr>
        <w:t xml:space="preserve"> </w:t>
      </w:r>
      <w:r>
        <w:rPr>
          <w:rFonts w:ascii="Tinos" w:hAnsi="Tinos" w:cs="Tinos"/>
          <w:b w:val="0"/>
          <w:bCs w:val="0"/>
          <w:color w:val="000000"/>
          <w:sz w:val="26"/>
          <w:szCs w:val="26"/>
          <w:highlight w:val="none"/>
        </w:rPr>
        <w:t xml:space="preserve">глава города</w:t>
      </w:r>
      <w:r>
        <w:rPr>
          <w:rFonts w:ascii="Tinos" w:hAnsi="Tinos" w:cs="Tinos"/>
          <w:b w:val="0"/>
          <w:bCs w:val="0"/>
          <w:color w:val="000000"/>
          <w:sz w:val="26"/>
          <w:szCs w:val="26"/>
          <w:highlight w:val="none"/>
        </w:rPr>
        <w:t xml:space="preserve"> </w:t>
      </w:r>
      <w:r>
        <w:rPr>
          <w:rFonts w:ascii="Tinos" w:hAnsi="Tinos" w:cs="Tinos"/>
          <w:color w:val="000000"/>
          <w:sz w:val="26"/>
          <w:szCs w:val="26"/>
        </w:rPr>
        <w:t xml:space="preserve">принимает решение о заключении концессионного соглашения на конкурсной основе в соответствии со </w:t>
      </w:r>
      <w:hyperlink r:id="rId14" w:tooltip="https://login.consultant.ru/link/?req=doc&amp;base=LAW&amp;n=451991&amp;dst=100158&amp;field=134&amp;date=29.01.2024" w:history="1">
        <w:r>
          <w:rPr>
            <w:rStyle w:val="819"/>
            <w:rFonts w:ascii="Tinos" w:hAnsi="Tinos" w:cs="Tinos"/>
            <w:color w:val="000000"/>
            <w:sz w:val="26"/>
            <w:szCs w:val="26"/>
            <w:u w:val="none"/>
          </w:rPr>
          <w:t xml:space="preserve">статьей 22</w:t>
        </w:r>
      </w:hyperlink>
      <w:r>
        <w:rPr>
          <w:rFonts w:ascii="Tinos" w:hAnsi="Tinos" w:cs="Tinos"/>
          <w:color w:val="000000"/>
          <w:sz w:val="26"/>
          <w:szCs w:val="26"/>
        </w:rPr>
        <w:t xml:space="preserve"> </w:t>
      </w:r>
      <w:r>
        <w:rPr>
          <w:rFonts w:ascii="Tinos" w:hAnsi="Tinos" w:cs="Tinos"/>
          <w:color w:val="000000"/>
          <w:sz w:val="26"/>
          <w:szCs w:val="26"/>
        </w:rPr>
        <w:t xml:space="preserve">Федерального закона №115-ФЗ. </w:t>
      </w:r>
      <w:r>
        <w:rPr>
          <w:rFonts w:ascii="Tinos" w:hAnsi="Tinos" w:cs="Tinos"/>
          <w:sz w:val="26"/>
          <w:szCs w:val="26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color w:val="000000"/>
          <w:sz w:val="26"/>
          <w:szCs w:val="26"/>
        </w:rPr>
        <w:t xml:space="preserve">8. В случае, если в сорокапятидневный срок со дня размещени</w:t>
      </w:r>
      <w:r>
        <w:rPr>
          <w:rFonts w:ascii="Tinos" w:hAnsi="Tinos" w:cs="Tinos"/>
          <w:color w:val="000000"/>
          <w:sz w:val="26"/>
          <w:szCs w:val="26"/>
        </w:rPr>
        <w:t xml:space="preserve">я на сайте торгов предложения не поступило заявок о готовности к участию в конкурсе на заключение концессионного соглашения от иных лиц, отвечающих требованиям, предъявляемым  Федеральным законом №115-ФЗ к концессионеру, а также требованиям, предъявляемым </w:t>
      </w:r>
      <w:hyperlink r:id="rId15" w:tooltip="https://login.consultant.ru/link/?req=doc&amp;base=LAW&amp;n=451991&amp;dst=199&amp;field=134&amp;date=29.01.2024" w:history="1">
        <w:r>
          <w:rPr>
            <w:rStyle w:val="819"/>
            <w:rFonts w:ascii="Tinos" w:hAnsi="Tinos" w:cs="Tinos"/>
            <w:color w:val="000000"/>
            <w:sz w:val="26"/>
            <w:szCs w:val="26"/>
            <w:u w:val="none"/>
          </w:rPr>
          <w:t xml:space="preserve">частью 4.1</w:t>
        </w:r>
      </w:hyperlink>
      <w:r>
        <w:rPr>
          <w:rFonts w:ascii="Tinos" w:hAnsi="Tinos" w:cs="Tinos"/>
          <w:color w:val="000000"/>
          <w:sz w:val="26"/>
          <w:szCs w:val="26"/>
        </w:rPr>
        <w:t xml:space="preserve"> статьи 37 Федерального закона №115-ФЗ, и в случае, если в</w:t>
      </w:r>
      <w:r>
        <w:rPr>
          <w:rFonts w:ascii="Tinos" w:hAnsi="Tinos" w:cs="Tinos"/>
          <w:color w:val="000000"/>
          <w:sz w:val="26"/>
          <w:szCs w:val="26"/>
        </w:rPr>
        <w:t xml:space="preserve">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</w:t>
      </w:r>
      <w:r>
        <w:rPr>
          <w:rFonts w:ascii="Tinos" w:hAnsi="Tinos" w:cs="Tinos"/>
          <w:color w:val="000000"/>
          <w:sz w:val="26"/>
          <w:szCs w:val="26"/>
        </w:rPr>
        <w:t xml:space="preserve">,</w:t>
      </w:r>
      <w:r>
        <w:rPr>
          <w:rFonts w:ascii="Tinos" w:hAnsi="Tinos" w:cs="Tinos"/>
          <w:color w:val="000000"/>
          <w:sz w:val="26"/>
          <w:szCs w:val="26"/>
        </w:rPr>
        <w:t xml:space="preserve"> с </w:t>
      </w:r>
      <w:r>
        <w:rPr>
          <w:rFonts w:ascii="Tinos" w:hAnsi="Tinos" w:cs="Tinos"/>
          <w:color w:val="000000"/>
          <w:sz w:val="26"/>
          <w:szCs w:val="26"/>
        </w:rPr>
        <w:t xml:space="preserve">инициатором </w:t>
      </w:r>
      <w:r>
        <w:rPr>
          <w:rFonts w:ascii="Tinos" w:hAnsi="Tinos" w:cs="Tinos"/>
          <w:color w:val="000000"/>
          <w:sz w:val="26"/>
          <w:szCs w:val="26"/>
        </w:rPr>
        <w:t xml:space="preserve">концессионное соглашение заключается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 в порядке, </w:t>
      </w:r>
      <w:r>
        <w:rPr>
          <w:rFonts w:ascii="Tinos" w:hAnsi="Tinos" w:eastAsia="Times New Roman" w:cs="Tinos"/>
          <w:color w:val="000000"/>
          <w:sz w:val="26"/>
          <w:szCs w:val="26"/>
          <w:highlight w:val="none"/>
        </w:rPr>
        <w:t xml:space="preserve">установленном Федеральным законом</w:t>
      </w:r>
      <w:r>
        <w:rPr>
          <w:rFonts w:ascii="Tinos" w:hAnsi="Tinos" w:eastAsia="Times New Roman" w:cs="Tinos"/>
          <w:color w:val="000000"/>
          <w:sz w:val="26"/>
          <w:szCs w:val="26"/>
          <w:highlight w:val="none"/>
        </w:rPr>
        <w:t xml:space="preserve">, </w:t>
      </w:r>
      <w:r>
        <w:rPr>
          <w:rFonts w:ascii="Tinos" w:hAnsi="Tinos" w:cs="Tinos"/>
          <w:color w:val="000000"/>
          <w:sz w:val="26"/>
          <w:szCs w:val="26"/>
          <w:highlight w:val="none"/>
        </w:rPr>
        <w:t xml:space="preserve">с учетом особенностей</w:t>
      </w:r>
      <w:r>
        <w:rPr>
          <w:rFonts w:ascii="Tinos" w:hAnsi="Tinos" w:cs="Tinos"/>
          <w:color w:val="000000"/>
          <w:sz w:val="26"/>
          <w:szCs w:val="26"/>
          <w:highlight w:val="none"/>
        </w:rPr>
        <w:t xml:space="preserve">, установленных частью 4.10 </w:t>
      </w:r>
      <w:r>
        <w:rPr>
          <w:rFonts w:ascii="Tinos" w:hAnsi="Tinos" w:cs="Tinos"/>
          <w:sz w:val="26"/>
          <w:szCs w:val="26"/>
          <w:highlight w:val="none"/>
        </w:rPr>
        <w:t xml:space="preserve"> статьи 37 </w:t>
      </w:r>
      <w:r>
        <w:rPr>
          <w:rFonts w:ascii="Tinos" w:hAnsi="Tinos" w:cs="Tinos"/>
          <w:color w:val="000000"/>
          <w:sz w:val="26"/>
          <w:szCs w:val="26"/>
          <w:highlight w:val="none"/>
        </w:rPr>
        <w:t xml:space="preserve">Ф</w:t>
      </w:r>
      <w:r>
        <w:rPr>
          <w:rFonts w:ascii="Tinos" w:hAnsi="Tinos" w:cs="Tinos"/>
          <w:color w:val="000000"/>
          <w:sz w:val="26"/>
          <w:szCs w:val="26"/>
        </w:rPr>
        <w:t xml:space="preserve">едеральн</w:t>
      </w:r>
      <w:r>
        <w:rPr>
          <w:rFonts w:ascii="Tinos" w:hAnsi="Tinos" w:cs="Tinos"/>
          <w:color w:val="000000"/>
          <w:sz w:val="26"/>
          <w:szCs w:val="26"/>
        </w:rPr>
        <w:t xml:space="preserve">ого</w:t>
      </w:r>
      <w:r>
        <w:rPr>
          <w:rFonts w:ascii="Tinos" w:hAnsi="Tinos" w:cs="Tinos"/>
          <w:color w:val="000000"/>
          <w:sz w:val="26"/>
          <w:szCs w:val="26"/>
        </w:rPr>
        <w:t xml:space="preserve"> закон</w:t>
      </w:r>
      <w:r>
        <w:rPr>
          <w:rFonts w:ascii="Tinos" w:hAnsi="Tinos" w:cs="Tinos"/>
          <w:color w:val="000000"/>
          <w:sz w:val="26"/>
          <w:szCs w:val="26"/>
        </w:rPr>
        <w:t xml:space="preserve">а</w:t>
      </w:r>
      <w:r>
        <w:rPr>
          <w:rFonts w:ascii="Tinos" w:hAnsi="Tinos" w:cs="Tinos"/>
          <w:color w:val="000000"/>
          <w:sz w:val="26"/>
          <w:szCs w:val="26"/>
        </w:rPr>
        <w:t xml:space="preserve"> №115-ФЗ</w:t>
      </w:r>
      <w:r>
        <w:rPr>
          <w:rFonts w:ascii="Tinos" w:hAnsi="Tinos" w:cs="Tinos"/>
          <w:color w:val="000000"/>
          <w:sz w:val="26"/>
          <w:szCs w:val="26"/>
        </w:rPr>
        <w:t xml:space="preserve">.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720"/>
        <w:jc w:val="both"/>
        <w:rPr>
          <w:rFonts w:ascii="Tinos" w:hAnsi="Tinos" w:cs="Tinos"/>
          <w:color w:val="000000" w:themeColor="text1"/>
          <w:sz w:val="26"/>
          <w:szCs w:val="26"/>
        </w:rPr>
        <w:outlineLvl w:val="0"/>
      </w:pPr>
      <w:r>
        <w:rPr>
          <w:rFonts w:ascii="Tinos" w:hAnsi="Tinos" w:cs="Tinos"/>
          <w:color w:val="000000" w:themeColor="text1"/>
          <w:sz w:val="26"/>
          <w:szCs w:val="26"/>
        </w:rPr>
      </w:r>
      <w:bookmarkStart w:id="1" w:name="_GoBack"/>
      <w:r>
        <w:rPr>
          <w:rFonts w:ascii="Tinos" w:hAnsi="Tinos" w:cs="Tinos"/>
          <w:color w:val="000000" w:themeColor="text1"/>
          <w:sz w:val="26"/>
          <w:szCs w:val="26"/>
        </w:rPr>
        <w:t xml:space="preserve">9. </w:t>
      </w: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Концессионн</w:t>
      </w: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ое</w:t>
      </w: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 соглашени</w:t>
      </w: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е</w:t>
      </w:r>
      <w:r>
        <w:rPr>
          <w:rFonts w:ascii="Tinos" w:hAnsi="Tinos" w:eastAsia="TimesNewRoman" w:cs="Tinos"/>
          <w:color w:val="000000" w:themeColor="text1"/>
          <w:sz w:val="26"/>
          <w:szCs w:val="26"/>
        </w:rPr>
        <w:t xml:space="preserve">, концедентом по которому выступает </w:t>
      </w:r>
      <w:r>
        <w:rPr>
          <w:rFonts w:ascii="Tinos" w:hAnsi="Tinos" w:cs="Tinos"/>
          <w:color w:val="000000" w:themeColor="text1"/>
          <w:sz w:val="26"/>
          <w:szCs w:val="26"/>
        </w:rPr>
        <w:t xml:space="preserve"> муниципальное образование город Нижневартовск, мо</w:t>
      </w:r>
      <w:r>
        <w:rPr>
          <w:rFonts w:ascii="Tinos" w:hAnsi="Tinos" w:cs="Tinos"/>
          <w:color w:val="000000" w:themeColor="text1"/>
          <w:sz w:val="26"/>
          <w:szCs w:val="26"/>
        </w:rPr>
        <w:t xml:space="preserve">жет</w:t>
      </w:r>
      <w:r>
        <w:rPr>
          <w:rFonts w:ascii="Tinos" w:hAnsi="Tinos" w:cs="Tinos"/>
          <w:color w:val="000000" w:themeColor="text1"/>
          <w:sz w:val="26"/>
          <w:szCs w:val="26"/>
        </w:rPr>
        <w:t xml:space="preserve"> быть заключен</w:t>
      </w:r>
      <w:r>
        <w:rPr>
          <w:rFonts w:ascii="Tinos" w:hAnsi="Tinos" w:cs="Tinos"/>
          <w:color w:val="000000" w:themeColor="text1"/>
          <w:sz w:val="26"/>
          <w:szCs w:val="26"/>
        </w:rPr>
        <w:t xml:space="preserve">о</w:t>
      </w:r>
      <w:r>
        <w:rPr>
          <w:rFonts w:ascii="Tinos" w:hAnsi="Tinos" w:cs="Tinos"/>
          <w:color w:val="000000" w:themeColor="text1"/>
          <w:sz w:val="26"/>
          <w:szCs w:val="26"/>
        </w:rPr>
        <w:t xml:space="preserve"> на срок, превышающий срок действия утвержденных получателю средств бюджета города Нижневартовска лимитов бюджетных обязательств, на основании </w:t>
      </w: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решени</w:t>
      </w: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я</w:t>
      </w: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 о заключении концессионн</w:t>
      </w: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ого</w:t>
      </w: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 соглашени</w:t>
      </w: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я</w:t>
      </w: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, принимаем</w:t>
      </w: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ого</w:t>
      </w: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 в соответствии с законодательством Российской Федерации </w:t>
      </w:r>
      <w:r>
        <w:rPr>
          <w:rFonts w:ascii="Tinos" w:hAnsi="Tinos" w:cs="Tinos"/>
          <w:color w:val="000000" w:themeColor="text1"/>
          <w:sz w:val="26"/>
          <w:szCs w:val="26"/>
        </w:rPr>
        <w:t xml:space="preserve">о </w:t>
      </w: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концессионных соглашениях</w:t>
      </w:r>
      <w:r>
        <w:rPr>
          <w:rFonts w:ascii="Tinos" w:hAnsi="Tinos" w:cs="Tinos"/>
          <w:color w:val="000000" w:themeColor="text1"/>
          <w:sz w:val="26"/>
          <w:szCs w:val="26"/>
        </w:rPr>
        <w:t xml:space="preserve">, в рамках муниципальных программ города Нижневартовска на срок и в пределах средств, которые предусмотрены соответствующими мероприятиями указанных </w:t>
      </w:r>
      <w:r>
        <w:rPr>
          <w:rFonts w:ascii="Tinos" w:hAnsi="Tinos" w:cs="Tinos"/>
          <w:color w:val="000000" w:themeColor="text1"/>
          <w:sz w:val="26"/>
          <w:szCs w:val="26"/>
          <w:highlight w:val="none"/>
        </w:rPr>
        <w:t xml:space="preserve">муниципальных </w:t>
      </w:r>
      <w:r>
        <w:rPr>
          <w:rFonts w:ascii="Tinos" w:hAnsi="Tinos" w:cs="Tinos"/>
          <w:color w:val="000000" w:themeColor="text1"/>
          <w:sz w:val="26"/>
          <w:szCs w:val="26"/>
        </w:rPr>
        <w:t xml:space="preserve">программ города Нижневартовска. </w:t>
      </w:r>
      <w:r>
        <w:rPr>
          <w:rFonts w:ascii="Tinos" w:hAnsi="Tinos" w:cs="Tinos"/>
          <w:sz w:val="26"/>
          <w:szCs w:val="26"/>
        </w:rPr>
      </w:r>
      <w:r/>
    </w:p>
    <w:p>
      <w:pPr>
        <w:pStyle w:val="837"/>
        <w:ind w:firstLine="540"/>
        <w:jc w:val="both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В случае если предполагаемый срок действия </w:t>
      </w: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концессионного соглашения, заключаемого в рамках муниципальной программы города Нижневартовска, превышает срок реализации указанной программы, такое концессионное соглашение</w:t>
      </w:r>
      <w:r>
        <w:rPr>
          <w:rFonts w:ascii="Tinos" w:hAnsi="Tinos" w:cs="Tinos"/>
          <w:color w:val="000000" w:themeColor="text1"/>
          <w:sz w:val="26"/>
          <w:szCs w:val="26"/>
        </w:rPr>
        <w:t xml:space="preserve"> </w:t>
      </w: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может быть заключено на основании решения </w:t>
      </w:r>
      <w:r>
        <w:rPr>
          <w:rFonts w:ascii="Tinos" w:hAnsi="Tinos" w:cs="Tinos"/>
          <w:color w:val="000000" w:themeColor="text1"/>
          <w:sz w:val="26"/>
          <w:szCs w:val="26"/>
        </w:rPr>
        <w:t xml:space="preserve">о </w:t>
      </w: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заключении концессионного соглашения, принимаемого в соответствии с законодательством Российской Федерации</w:t>
      </w: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 </w:t>
      </w:r>
      <w:r>
        <w:rPr>
          <w:rFonts w:ascii="Tinos" w:hAnsi="Tinos" w:cs="Tinos"/>
          <w:color w:val="000000" w:themeColor="text1"/>
          <w:sz w:val="26"/>
          <w:szCs w:val="26"/>
          <w:lang w:eastAsia="zh-CN" w:bidi="hi-IN"/>
        </w:rPr>
        <w:t xml:space="preserve">о концессионных соглашениях.</w:t>
      </w:r>
      <w:r>
        <w:rPr>
          <w:rFonts w:ascii="Tinos" w:hAnsi="Tinos" w:cs="Tinos"/>
          <w:color w:val="ff0000"/>
          <w:sz w:val="26"/>
          <w:szCs w:val="26"/>
        </w:rPr>
      </w:r>
      <w:bookmarkEnd w:id="1"/>
      <w:r>
        <w:rPr>
          <w:rFonts w:ascii="Tinos" w:hAnsi="Tinos" w:cs="Tinos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873" w:right="566" w:bottom="658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37"/>
      </w:pPr>
      <w:r>
        <w:separator/>
      </w:r>
      <w:r/>
    </w:p>
  </w:endnote>
  <w:endnote w:type="continuationSeparator" w:id="0">
    <w:p>
      <w:pPr>
        <w:pStyle w:val="837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Calibri">
    <w:panose1 w:val="020F0502020204030204"/>
  </w:font>
  <w:font w:name="Tinos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37"/>
      </w:pPr>
      <w:r>
        <w:separator/>
      </w:r>
      <w:r/>
    </w:p>
  </w:footnote>
  <w:footnote w:type="continuationSeparator" w:id="0">
    <w:p>
      <w:pPr>
        <w:pStyle w:val="837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 w:default="1">
    <w:name w:val="Normal"/>
    <w:qFormat/>
    <w:rPr>
      <w:sz w:val="24"/>
    </w:rPr>
  </w:style>
  <w:style w:type="paragraph" w:styleId="639">
    <w:name w:val="Heading 1"/>
    <w:basedOn w:val="638"/>
    <w:next w:val="638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0">
    <w:name w:val="Heading 2"/>
    <w:basedOn w:val="638"/>
    <w:next w:val="638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1">
    <w:name w:val="Heading 3"/>
    <w:basedOn w:val="638"/>
    <w:next w:val="638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2">
    <w:name w:val="Heading 4"/>
    <w:basedOn w:val="638"/>
    <w:next w:val="638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638"/>
    <w:next w:val="638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644">
    <w:name w:val="Heading 6"/>
    <w:basedOn w:val="638"/>
    <w:next w:val="6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638"/>
    <w:next w:val="638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6">
    <w:name w:val="Heading 8"/>
    <w:basedOn w:val="638"/>
    <w:next w:val="6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7">
    <w:name w:val="Heading 9"/>
    <w:basedOn w:val="638"/>
    <w:next w:val="638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52" w:customStyle="1">
    <w:name w:val="Heading 2 Char"/>
    <w:uiPriority w:val="9"/>
    <w:rPr>
      <w:rFonts w:ascii="Arial" w:hAnsi="Arial" w:eastAsia="Arial" w:cs="Arial"/>
      <w:sz w:val="34"/>
    </w:rPr>
  </w:style>
  <w:style w:type="character" w:styleId="65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5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5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5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5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5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60" w:customStyle="1">
    <w:name w:val="Title Char"/>
    <w:uiPriority w:val="10"/>
    <w:rPr>
      <w:sz w:val="48"/>
      <w:szCs w:val="48"/>
    </w:rPr>
  </w:style>
  <w:style w:type="character" w:styleId="661" w:customStyle="1">
    <w:name w:val="Subtitle Char"/>
    <w:uiPriority w:val="11"/>
    <w:rPr>
      <w:sz w:val="24"/>
      <w:szCs w:val="24"/>
    </w:rPr>
  </w:style>
  <w:style w:type="character" w:styleId="662" w:customStyle="1">
    <w:name w:val="Quote Char"/>
    <w:uiPriority w:val="29"/>
    <w:rPr>
      <w:i/>
    </w:rPr>
  </w:style>
  <w:style w:type="character" w:styleId="663" w:customStyle="1">
    <w:name w:val="Intense Quote Char"/>
    <w:uiPriority w:val="30"/>
    <w:rPr>
      <w:i/>
    </w:rPr>
  </w:style>
  <w:style w:type="character" w:styleId="664" w:customStyle="1">
    <w:name w:val="Header Char"/>
    <w:basedOn w:val="648"/>
    <w:uiPriority w:val="99"/>
  </w:style>
  <w:style w:type="character" w:styleId="665" w:customStyle="1">
    <w:name w:val="Caption Char"/>
    <w:uiPriority w:val="99"/>
  </w:style>
  <w:style w:type="character" w:styleId="666" w:customStyle="1">
    <w:name w:val="Footnote Text Char"/>
    <w:uiPriority w:val="99"/>
    <w:rPr>
      <w:sz w:val="18"/>
    </w:rPr>
  </w:style>
  <w:style w:type="character" w:styleId="667" w:customStyle="1">
    <w:name w:val="Endnote Text Char"/>
    <w:uiPriority w:val="99"/>
    <w:rPr>
      <w:sz w:val="20"/>
    </w:rPr>
  </w:style>
  <w:style w:type="character" w:styleId="668" w:customStyle="1">
    <w:name w:val="Заголовок 1 Знак"/>
    <w:link w:val="639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Заголовок 2 Знак"/>
    <w:link w:val="640"/>
    <w:uiPriority w:val="9"/>
    <w:rPr>
      <w:rFonts w:ascii="Arial" w:hAnsi="Arial" w:eastAsia="Arial" w:cs="Arial"/>
      <w:sz w:val="34"/>
    </w:rPr>
  </w:style>
  <w:style w:type="character" w:styleId="670" w:customStyle="1">
    <w:name w:val="Заголовок 3 Знак"/>
    <w:link w:val="641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Заголовок 4 Знак"/>
    <w:link w:val="642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Заголовок 5 Знак"/>
    <w:link w:val="643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Заголовок 6 Знак"/>
    <w:link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Заголовок 7 Знак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Заголовок 8 Знак"/>
    <w:link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Заголовок 9 Знак"/>
    <w:link w:val="647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38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rPr>
      <w:sz w:val="24"/>
    </w:rPr>
  </w:style>
  <w:style w:type="paragraph" w:styleId="679">
    <w:name w:val="Title"/>
    <w:basedOn w:val="638"/>
    <w:next w:val="638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Название Знак"/>
    <w:link w:val="679"/>
    <w:uiPriority w:val="10"/>
    <w:rPr>
      <w:sz w:val="48"/>
      <w:szCs w:val="48"/>
    </w:rPr>
  </w:style>
  <w:style w:type="paragraph" w:styleId="681">
    <w:name w:val="Subtitle"/>
    <w:basedOn w:val="638"/>
    <w:next w:val="638"/>
    <w:link w:val="682"/>
    <w:uiPriority w:val="11"/>
    <w:qFormat/>
    <w:pPr>
      <w:spacing w:before="200" w:after="200"/>
    </w:pPr>
    <w:rPr>
      <w:szCs w:val="24"/>
    </w:rPr>
  </w:style>
  <w:style w:type="character" w:styleId="682" w:customStyle="1">
    <w:name w:val="Подзаголовок Знак"/>
    <w:link w:val="681"/>
    <w:uiPriority w:val="11"/>
    <w:rPr>
      <w:sz w:val="24"/>
      <w:szCs w:val="24"/>
    </w:rPr>
  </w:style>
  <w:style w:type="paragraph" w:styleId="683">
    <w:name w:val="Quote"/>
    <w:basedOn w:val="638"/>
    <w:next w:val="638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38"/>
    <w:next w:val="638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38"/>
    <w:link w:val="6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link w:val="687"/>
    <w:uiPriority w:val="99"/>
  </w:style>
  <w:style w:type="paragraph" w:styleId="689">
    <w:name w:val="Footer"/>
    <w:basedOn w:val="638"/>
    <w:link w:val="69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uiPriority w:val="99"/>
  </w:style>
  <w:style w:type="paragraph" w:styleId="691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92" w:customStyle="1">
    <w:name w:val="Нижний колонтитул Знак"/>
    <w:link w:val="689"/>
    <w:uiPriority w:val="99"/>
  </w:style>
  <w:style w:type="table" w:styleId="693">
    <w:name w:val="Table Grid"/>
    <w:uiPriority w:val="59"/>
    <w:rPr>
      <w:sz w:val="24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Table Grid Light"/>
    <w:uiPriority w:val="59"/>
    <w:rPr>
      <w:sz w:val="24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rPr>
      <w:sz w:val="24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2"/>
    <w:uiPriority w:val="59"/>
    <w:rPr>
      <w:sz w:val="24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3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8">
    <w:name w:val="Plain Table 4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9">
    <w:name w:val="Plain Table 5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Grid Table 1 Light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1 Light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1 Light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>
    <w:name w:val="Grid Table 2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2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2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>
    <w:name w:val="Grid Table 3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3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3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Grid Table 4"/>
    <w:uiPriority w:val="59"/>
    <w:rPr>
      <w:sz w:val="24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4 - Accent 1"/>
    <w:uiPriority w:val="59"/>
    <w:rPr>
      <w:sz w:val="24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4 - Accent 2"/>
    <w:uiPriority w:val="59"/>
    <w:rPr>
      <w:sz w:val="24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3"/>
    <w:uiPriority w:val="59"/>
    <w:rPr>
      <w:sz w:val="24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4"/>
    <w:uiPriority w:val="59"/>
    <w:rPr>
      <w:sz w:val="24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5"/>
    <w:uiPriority w:val="59"/>
    <w:rPr>
      <w:sz w:val="24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6"/>
    <w:uiPriority w:val="59"/>
    <w:rPr>
      <w:sz w:val="24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5 Dark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5 Dark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5 Dark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6 Colorful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6 Colorful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6 Colorful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7 Colorful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7 Colorful - Accent 1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7 Colorful - Accent 2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3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4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5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6"/>
    <w:uiPriority w:val="99"/>
    <w:rPr>
      <w:sz w:val="24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List Table 1 Light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1 Light - Accent 1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1 Light - Accent 2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3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4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5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6"/>
    <w:uiPriority w:val="99"/>
    <w:rPr>
      <w:sz w:val="24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List Table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2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2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List Table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3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3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List Table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4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4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5 Dark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5 Dark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5 Dark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6 Colorful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6 Colorful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6 Colorful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7 Colorful"/>
    <w:uiPriority w:val="99"/>
    <w:rPr>
      <w:sz w:val="24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7 Colorful - Accent 1"/>
    <w:uiPriority w:val="99"/>
    <w:rPr>
      <w:sz w:val="24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7 Colorful - Accent 2"/>
    <w:uiPriority w:val="99"/>
    <w:rPr>
      <w:sz w:val="24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3"/>
    <w:uiPriority w:val="99"/>
    <w:rPr>
      <w:sz w:val="24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4"/>
    <w:uiPriority w:val="99"/>
    <w:rPr>
      <w:sz w:val="24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5"/>
    <w:uiPriority w:val="99"/>
    <w:rPr>
      <w:sz w:val="24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6"/>
    <w:uiPriority w:val="99"/>
    <w:rPr>
      <w:sz w:val="24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- Accent 1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- Accent 2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3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4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5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6"/>
    <w:uiPriority w:val="99"/>
    <w:rPr>
      <w:sz w:val="24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19">
    <w:name w:val="Hyperlink"/>
    <w:uiPriority w:val="99"/>
    <w:unhideWhenUsed/>
    <w:rPr>
      <w:color w:val="0000ff"/>
      <w:u w:val="single"/>
    </w:rPr>
  </w:style>
  <w:style w:type="paragraph" w:styleId="820">
    <w:name w:val="footnote text"/>
    <w:basedOn w:val="638"/>
    <w:link w:val="821"/>
    <w:uiPriority w:val="99"/>
    <w:semiHidden/>
    <w:unhideWhenUsed/>
    <w:pPr>
      <w:spacing w:after="40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basedOn w:val="638"/>
    <w:link w:val="824"/>
    <w:uiPriority w:val="99"/>
    <w:semiHidden/>
    <w:unhideWhenUsed/>
    <w:rPr>
      <w:sz w:val="20"/>
    </w:r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638"/>
    <w:next w:val="638"/>
    <w:uiPriority w:val="39"/>
    <w:unhideWhenUsed/>
    <w:pPr>
      <w:spacing w:after="57"/>
    </w:pPr>
  </w:style>
  <w:style w:type="paragraph" w:styleId="827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28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29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30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31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32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33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34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  <w:rPr>
      <w:sz w:val="24"/>
    </w:rPr>
  </w:style>
  <w:style w:type="paragraph" w:styleId="836">
    <w:name w:val="table of figures"/>
    <w:basedOn w:val="638"/>
    <w:next w:val="638"/>
    <w:uiPriority w:val="99"/>
    <w:unhideWhenUsed/>
  </w:style>
  <w:style w:type="paragraph" w:styleId="837" w:customStyle="1">
    <w:name w:val="ConsPlusNormal"/>
    <w:rPr>
      <w:rFonts w:ascii="Arial" w:hAnsi="Arial" w:eastAsia="Arial" w:cs="Arial"/>
    </w:rPr>
  </w:style>
  <w:style w:type="paragraph" w:styleId="838" w:customStyle="1">
    <w:name w:val="ConsPlusNonformat"/>
    <w:rPr>
      <w:rFonts w:ascii="Courier New" w:hAnsi="Courier New" w:eastAsia="Courier New" w:cs="Courier New"/>
    </w:rPr>
  </w:style>
  <w:style w:type="paragraph" w:styleId="839" w:customStyle="1">
    <w:name w:val="ConsPlusTitle"/>
    <w:rPr>
      <w:rFonts w:ascii="Arial" w:hAnsi="Arial" w:eastAsia="Arial" w:cs="Arial"/>
      <w:b/>
    </w:rPr>
  </w:style>
  <w:style w:type="paragraph" w:styleId="840" w:customStyle="1">
    <w:name w:val="ConsPlusCell"/>
    <w:rPr>
      <w:rFonts w:ascii="Courier New" w:hAnsi="Courier New" w:eastAsia="Courier New" w:cs="Courier New"/>
    </w:rPr>
  </w:style>
  <w:style w:type="paragraph" w:styleId="841" w:customStyle="1">
    <w:name w:val="ConsPlusDocList"/>
    <w:rPr>
      <w:rFonts w:ascii="Tahoma" w:hAnsi="Tahoma" w:eastAsia="Tahoma" w:cs="Tahoma"/>
      <w:sz w:val="18"/>
    </w:rPr>
  </w:style>
  <w:style w:type="paragraph" w:styleId="842" w:customStyle="1">
    <w:name w:val="ConsPlusTitlePage"/>
    <w:rPr>
      <w:rFonts w:ascii="Tahoma" w:hAnsi="Tahoma" w:eastAsia="Tahoma" w:cs="Tahoma"/>
    </w:rPr>
  </w:style>
  <w:style w:type="paragraph" w:styleId="843" w:customStyle="1">
    <w:name w:val="ConsPlusJurTerm"/>
    <w:rPr>
      <w:rFonts w:ascii="Tahoma" w:hAnsi="Tahoma" w:eastAsia="Tahoma" w:cs="Tahoma"/>
      <w:sz w:val="26"/>
    </w:rPr>
  </w:style>
  <w:style w:type="paragraph" w:styleId="844" w:customStyle="1">
    <w:name w:val="ConsPlusTextList"/>
    <w:rPr>
      <w:rFonts w:ascii="Arial" w:hAnsi="Arial" w:eastAsia="Arial" w:cs="Arial"/>
    </w:rPr>
  </w:style>
  <w:style w:type="paragraph" w:styleId="845" w:customStyle="1">
    <w:name w:val="ConsPlusTextList"/>
    <w:rPr>
      <w:rFonts w:ascii="Arial" w:hAnsi="Arial" w:eastAsia="Arial" w:cs="Arial"/>
    </w:rPr>
  </w:style>
  <w:style w:type="character" w:styleId="846" w:customStyle="1">
    <w:name w:val="Интернет-ссылка"/>
    <w:rPr>
      <w:color w:val="000080"/>
      <w:u w:val="single"/>
      <w:lang w:val="en-US" w:bidi="en-US"/>
    </w:rPr>
  </w:style>
  <w:style w:type="paragraph" w:styleId="847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base=RLAW926&amp;n=182257&amp;date=29.01.2024&amp;dst=100005&amp;field=134" TargetMode="External"/><Relationship Id="rId10" Type="http://schemas.openxmlformats.org/officeDocument/2006/relationships/hyperlink" Target="https://login.consultant.ru/link/?req=doc&amp;base=RLAW926&amp;n=192166&amp;date=29.01.2024&amp;dst=100011&amp;field=134" TargetMode="External"/><Relationship Id="rId11" Type="http://schemas.openxmlformats.org/officeDocument/2006/relationships/hyperlink" Target="https://login.consultant.ru/link/?req=doc&amp;base=RLAW926&amp;n=206753&amp;date=29.01.2024&amp;dst=100005&amp;field=134" TargetMode="External"/><Relationship Id="rId12" Type="http://schemas.openxmlformats.org/officeDocument/2006/relationships/hyperlink" Target="https://login.consultant.ru/link/?req=doc&amp;base=LAW&amp;n=457426&amp;dst=100011&amp;field=134&amp;date=29.01.2024" TargetMode="External"/><Relationship Id="rId13" Type="http://schemas.openxmlformats.org/officeDocument/2006/relationships/hyperlink" Target="https://login.consultant.ru/link/?req=doc&amp;base=LAW&amp;n=451991&amp;dst=199&amp;field=134&amp;date=29.01.2024" TargetMode="External"/><Relationship Id="rId14" Type="http://schemas.openxmlformats.org/officeDocument/2006/relationships/hyperlink" Target="https://login.consultant.ru/link/?req=doc&amp;base=LAW&amp;n=451991&amp;dst=100158&amp;field=134&amp;date=29.01.2024" TargetMode="External"/><Relationship Id="rId15" Type="http://schemas.openxmlformats.org/officeDocument/2006/relationships/hyperlink" Target="https://login.consultant.ru/link/?req=doc&amp;base=LAW&amp;n=451991&amp;dst=199&amp;field=134&amp;date=29.01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Нижневартовска от 31.05.2017 N 811(ред. от 02.03.2020)&amp;quot;О Порядке принятия решений о заключении концессионных соглашений и Порядке формирования перечня объектов, в отношении которых планируется заключение концессионных соглашений&amp;quot;</dc:title>
  <dc:creator/>
  <cp:revision>63</cp:revision>
  <dcterms:created xsi:type="dcterms:W3CDTF">2024-02-02T16:09:00Z</dcterms:created>
  <dcterms:modified xsi:type="dcterms:W3CDTF">2024-07-26T07:00:52Z</dcterms:modified>
</cp:coreProperties>
</file>