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33" w:rsidRDefault="0056743D">
      <w:pPr>
        <w:spacing w:line="276" w:lineRule="auto"/>
        <w:ind w:right="-142"/>
        <w:jc w:val="center"/>
        <w:rPr>
          <w:sz w:val="26"/>
          <w:szCs w:val="26"/>
        </w:rPr>
      </w:pPr>
      <w:bookmarkStart w:id="0" w:name="undefined"/>
      <w:bookmarkEnd w:id="0"/>
      <w:r>
        <w:rPr>
          <w:rFonts w:eastAsia="Arial Unicode MS"/>
          <w:b/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</w:p>
    <w:p w:rsidR="00340733" w:rsidRDefault="0056743D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 xml:space="preserve">о тарифах и плате за </w:t>
      </w:r>
      <w:proofErr w:type="gramStart"/>
      <w:r>
        <w:rPr>
          <w:rStyle w:val="titlerazdel"/>
          <w:rFonts w:eastAsiaTheme="majorEastAsia"/>
          <w:b/>
          <w:sz w:val="26"/>
          <w:szCs w:val="26"/>
        </w:rPr>
        <w:t>коммунальные</w:t>
      </w:r>
      <w:proofErr w:type="gramEnd"/>
    </w:p>
    <w:p w:rsidR="00340733" w:rsidRDefault="0056743D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>
        <w:rPr>
          <w:rStyle w:val="titlerazdel"/>
          <w:rFonts w:eastAsiaTheme="majorEastAsia"/>
          <w:b/>
          <w:sz w:val="26"/>
          <w:szCs w:val="26"/>
        </w:rPr>
        <w:t>на 2024 год</w:t>
      </w:r>
    </w:p>
    <w:p w:rsidR="00340733" w:rsidRDefault="00340733">
      <w:pPr>
        <w:spacing w:line="276" w:lineRule="auto"/>
        <w:ind w:right="-142"/>
        <w:jc w:val="center"/>
        <w:rPr>
          <w:sz w:val="26"/>
          <w:szCs w:val="26"/>
        </w:rPr>
      </w:pPr>
    </w:p>
    <w:p w:rsidR="00340733" w:rsidRDefault="0056743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 территории Ханты-Мансийского автономного округа – Югры завершена тарифная кампания по установлению тарифов на коммунальные услуги на 2024 год в сферах теплоснабжения, водоснабжения, водоотведения, электроснабжения, газоснабжения, обращения с </w:t>
      </w:r>
      <w:proofErr w:type="gramStart"/>
      <w:r>
        <w:rPr>
          <w:color w:val="000000" w:themeColor="text1"/>
          <w:sz w:val="26"/>
          <w:szCs w:val="26"/>
        </w:rPr>
        <w:t>твердыми</w:t>
      </w:r>
      <w:proofErr w:type="gramEnd"/>
      <w:r>
        <w:rPr>
          <w:color w:val="000000" w:themeColor="text1"/>
          <w:sz w:val="26"/>
          <w:szCs w:val="26"/>
        </w:rPr>
        <w:t xml:space="preserve"> ко</w:t>
      </w:r>
      <w:r>
        <w:rPr>
          <w:color w:val="000000" w:themeColor="text1"/>
          <w:sz w:val="26"/>
          <w:szCs w:val="26"/>
        </w:rPr>
        <w:t>ммунальными отходами (далее – коммунальные услуги).</w:t>
      </w:r>
    </w:p>
    <w:p w:rsidR="00340733" w:rsidRDefault="0056743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С 1 января по 30 июня 2024 года тарифы приняты на уровне декабря 2023 года. </w:t>
      </w:r>
    </w:p>
    <w:p w:rsidR="00340733" w:rsidRDefault="0056743D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>Плановое увеличение тарифов произойдет с 1 июля 2024 года в пределах индексов изменения размера совокупной платы граждан за ком</w:t>
      </w:r>
      <w:r>
        <w:rPr>
          <w:bCs/>
          <w:color w:val="000000" w:themeColor="text1"/>
          <w:sz w:val="26"/>
          <w:szCs w:val="26"/>
        </w:rPr>
        <w:t>мунальные услуги, установленных Правительством Российской Федерации в среднем по Югре и Губернатором Ханты-Мансийского авт</w:t>
      </w:r>
      <w:r>
        <w:rPr>
          <w:color w:val="000000" w:themeColor="text1"/>
          <w:sz w:val="26"/>
          <w:szCs w:val="26"/>
        </w:rPr>
        <w:t>ономного округа – Югры по муниципальным образованиям.</w:t>
      </w:r>
      <w:proofErr w:type="gramEnd"/>
    </w:p>
    <w:p w:rsidR="00340733" w:rsidRDefault="0056743D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Распоряжением Правительства РФ № 3147-р от 10.11.2023 утверждены индексы изменен</w:t>
      </w:r>
      <w:r>
        <w:rPr>
          <w:color w:val="000000" w:themeColor="text1"/>
          <w:sz w:val="26"/>
          <w:szCs w:val="26"/>
        </w:rPr>
        <w:t xml:space="preserve">ия размера вносимой гражданами платы за коммунальные услуги в среднем по Югре на 2024 год с 1 января – 0%, с 1 июля – 9,6% и предельно допустимое отклонение по отдельным муниципальным образованиям от величины указанного индекса с 1 января – 0%, с 1 июля – </w:t>
      </w:r>
      <w:r>
        <w:rPr>
          <w:color w:val="000000" w:themeColor="text1"/>
          <w:sz w:val="26"/>
          <w:szCs w:val="26"/>
        </w:rPr>
        <w:t>2%, с учетом которого предельные (максимальные) индексы изменения размера вносимой</w:t>
      </w:r>
      <w:proofErr w:type="gramEnd"/>
      <w:r>
        <w:rPr>
          <w:color w:val="000000" w:themeColor="text1"/>
          <w:sz w:val="26"/>
          <w:szCs w:val="26"/>
        </w:rPr>
        <w:t xml:space="preserve"> гражданами платы за коммунальные услуги в муниципальных </w:t>
      </w:r>
      <w:proofErr w:type="gramStart"/>
      <w:r>
        <w:rPr>
          <w:color w:val="000000" w:themeColor="text1"/>
          <w:sz w:val="26"/>
          <w:szCs w:val="26"/>
        </w:rPr>
        <w:t>образованиях</w:t>
      </w:r>
      <w:proofErr w:type="gramEnd"/>
      <w:r>
        <w:rPr>
          <w:color w:val="000000" w:themeColor="text1"/>
          <w:sz w:val="26"/>
          <w:szCs w:val="26"/>
        </w:rPr>
        <w:t xml:space="preserve"> автономного округа с 01.07.2024 (далее – предельные индексы) не должны превышать 11,6%.</w:t>
      </w:r>
    </w:p>
    <w:p w:rsidR="00340733" w:rsidRDefault="0056743D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Согласно Прогноз</w:t>
      </w:r>
      <w:r>
        <w:rPr>
          <w:color w:val="000000" w:themeColor="text1"/>
          <w:sz w:val="26"/>
          <w:szCs w:val="26"/>
        </w:rPr>
        <w:t>у социально-экономического развития РФ на 2024 год и последующие периоды 2025-2026 годов, одобренному Правительством РФ 22.09.2023, тарифы для населения подлежат индексации с 1 июля 2024 года не выше: 9,6% - тепловую энергию, дрова, уголь, холодное водосна</w:t>
      </w:r>
      <w:r>
        <w:rPr>
          <w:color w:val="000000" w:themeColor="text1"/>
          <w:sz w:val="26"/>
          <w:szCs w:val="26"/>
        </w:rPr>
        <w:t>бжение, водоотведение и обращение с твердыми коммунальными отходами; 8,9% - на электроэнергию; 11,2% - на газ.</w:t>
      </w:r>
      <w:proofErr w:type="gramEnd"/>
    </w:p>
    <w:p w:rsidR="00340733" w:rsidRDefault="0056743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 соответствии с указанными решениями, принятыми на федеральном уровне, постановлением Губернатора автономного округа от 11.12.2023 № 185 утвержд</w:t>
      </w:r>
      <w:r>
        <w:rPr>
          <w:color w:val="000000" w:themeColor="text1"/>
          <w:sz w:val="26"/>
          <w:szCs w:val="26"/>
        </w:rPr>
        <w:t>ены предельные индексы (</w:t>
      </w:r>
      <w:hyperlink r:id="rId9" w:tooltip="https://admhmao.ru/dokumenty/pravovye-akty-gubernatora/9559393/" w:history="1">
        <w:r>
          <w:rPr>
            <w:color w:val="000000" w:themeColor="text1"/>
            <w:sz w:val="26"/>
            <w:szCs w:val="26"/>
            <w:u w:val="single"/>
            <w:lang w:eastAsia="en-US"/>
          </w:rPr>
          <w:t>https://admhmao.ru/dokumenty/pravovye-akty-gubernatora/9559393/</w:t>
        </w:r>
      </w:hyperlink>
      <w:r>
        <w:rPr>
          <w:color w:val="000000" w:themeColor="text1"/>
          <w:sz w:val="26"/>
          <w:szCs w:val="26"/>
        </w:rPr>
        <w:t>)</w:t>
      </w:r>
    </w:p>
    <w:p w:rsidR="00340733" w:rsidRDefault="0056743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По отдельным муниц</w:t>
      </w:r>
      <w:r>
        <w:rPr>
          <w:color w:val="000000" w:themeColor="text1"/>
          <w:sz w:val="26"/>
          <w:szCs w:val="26"/>
        </w:rPr>
        <w:t xml:space="preserve">ипальным образованиям автономного округа с жилыми помещениями в </w:t>
      </w:r>
      <w:proofErr w:type="gramStart"/>
      <w:r>
        <w:rPr>
          <w:color w:val="000000" w:themeColor="text1"/>
          <w:sz w:val="26"/>
          <w:szCs w:val="26"/>
        </w:rPr>
        <w:t>наборе</w:t>
      </w:r>
      <w:proofErr w:type="gramEnd"/>
      <w:r>
        <w:rPr>
          <w:color w:val="000000" w:themeColor="text1"/>
          <w:sz w:val="26"/>
          <w:szCs w:val="26"/>
        </w:rPr>
        <w:t xml:space="preserve"> коммунальных услуг которых большую долю занимает газоснабжение, предельные индексы утверждены более 9,6%, но не выше 11,0%, в связи прогнозируемым ростом тарифа на газ 11,2%, доля таких</w:t>
      </w:r>
      <w:r>
        <w:rPr>
          <w:color w:val="000000" w:themeColor="text1"/>
          <w:sz w:val="26"/>
          <w:szCs w:val="26"/>
        </w:rPr>
        <w:t xml:space="preserve"> граждан от всей численности населения в Югре составляет 1,36%.</w:t>
      </w:r>
    </w:p>
    <w:p w:rsidR="00340733" w:rsidRDefault="0056743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Для остальных граждан рост платы с 1 июля 2024 года не превысит 9,6%.</w:t>
      </w:r>
    </w:p>
    <w:p w:rsidR="00340733" w:rsidRDefault="0056743D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lastRenderedPageBreak/>
        <w:t>Величина тарифов на коммунальные услуги определяется технико-экономическими показателями систем коммунальной инфраструктур</w:t>
      </w:r>
      <w:r>
        <w:rPr>
          <w:color w:val="000000" w:themeColor="text1"/>
          <w:sz w:val="26"/>
          <w:szCs w:val="26"/>
        </w:rPr>
        <w:t>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</w:t>
      </w:r>
      <w:r>
        <w:rPr>
          <w:color w:val="000000" w:themeColor="text1"/>
          <w:sz w:val="26"/>
          <w:szCs w:val="26"/>
        </w:rPr>
        <w:t xml:space="preserve">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  <w:proofErr w:type="gramEnd"/>
    </w:p>
    <w:p w:rsidR="00340733" w:rsidRDefault="0056743D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Поэтому тарифы на одни и те же коммунальные услуги, для разных организаций в разных муниципальных образованиях имеют</w:t>
      </w:r>
      <w:r>
        <w:rPr>
          <w:color w:val="000000" w:themeColor="text1"/>
          <w:sz w:val="26"/>
          <w:szCs w:val="26"/>
        </w:rPr>
        <w:t xml:space="preserve">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  <w:proofErr w:type="gramEnd"/>
    </w:p>
    <w:p w:rsidR="00340733" w:rsidRDefault="0056743D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Ежегодное увеличение тарифов на коммунальные услуги обусловлено ростом цен на продукцию ест</w:t>
      </w:r>
      <w:r>
        <w:rPr>
          <w:color w:val="000000" w:themeColor="text1"/>
          <w:sz w:val="26"/>
          <w:szCs w:val="26"/>
        </w:rPr>
        <w:t>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</w:t>
      </w:r>
      <w:r>
        <w:rPr>
          <w:color w:val="000000" w:themeColor="text1"/>
          <w:sz w:val="26"/>
          <w:szCs w:val="26"/>
        </w:rPr>
        <w:t xml:space="preserve">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proofErr w:type="gramEnd"/>
    </w:p>
    <w:p w:rsidR="00340733" w:rsidRDefault="0056743D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При этом, рост тарифов по некоторым коммунальным услугам может быть выше устан</w:t>
      </w:r>
      <w:r>
        <w:rPr>
          <w:color w:val="000000" w:themeColor="text1"/>
          <w:sz w:val="26"/>
          <w:szCs w:val="26"/>
        </w:rPr>
        <w:t>овленных индексов (инфляции) за счет отсутствия роста или роста ниже инфляции по другим коммунальным услугам, входящим в состав платы за коммунальные услуги.</w:t>
      </w:r>
    </w:p>
    <w:p w:rsidR="00340733" w:rsidRDefault="0056743D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Рост или снижение тарифов на каждую коммунальную услугу обусловлены экономически обоснованными расходами </w:t>
      </w:r>
      <w:proofErr w:type="gramStart"/>
      <w:r>
        <w:rPr>
          <w:color w:val="000000" w:themeColor="text1"/>
          <w:sz w:val="26"/>
          <w:szCs w:val="26"/>
        </w:rPr>
        <w:t>регулируемой</w:t>
      </w:r>
      <w:proofErr w:type="gramEnd"/>
      <w:r>
        <w:rPr>
          <w:color w:val="000000" w:themeColor="text1"/>
          <w:sz w:val="26"/>
          <w:szCs w:val="26"/>
        </w:rPr>
        <w:t xml:space="preserve"> организации, определенными в соответствии с требованиями действующего законодательства.</w:t>
      </w:r>
    </w:p>
    <w:p w:rsidR="00340733" w:rsidRDefault="0056743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:rsidR="00340733" w:rsidRDefault="0056743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Для соблюдения законодатель</w:t>
      </w:r>
      <w:r>
        <w:rPr>
          <w:color w:val="000000" w:themeColor="text1"/>
          <w:sz w:val="26"/>
          <w:szCs w:val="26"/>
        </w:rPr>
        <w:t xml:space="preserve">ства об ограничении роста платы граждан за коммунальные услуги для населения могут </w:t>
      </w:r>
      <w:proofErr w:type="gramStart"/>
      <w:r>
        <w:rPr>
          <w:color w:val="000000" w:themeColor="text1"/>
          <w:sz w:val="26"/>
          <w:szCs w:val="26"/>
        </w:rPr>
        <w:t>применятся</w:t>
      </w:r>
      <w:proofErr w:type="gramEnd"/>
      <w:r>
        <w:rPr>
          <w:color w:val="000000" w:themeColor="text1"/>
          <w:sz w:val="26"/>
          <w:szCs w:val="26"/>
        </w:rPr>
        <w:t xml:space="preserve"> тарифы с учетом уровня платы в размере ниже экономически обоснованных тарифов, установленных РСТ Югры, с компенсацией разницы </w:t>
      </w:r>
      <w:proofErr w:type="spellStart"/>
      <w:r>
        <w:rPr>
          <w:color w:val="000000" w:themeColor="text1"/>
          <w:sz w:val="26"/>
          <w:szCs w:val="26"/>
        </w:rPr>
        <w:t>ресурсоснабжающим</w:t>
      </w:r>
      <w:proofErr w:type="spellEnd"/>
      <w:r>
        <w:rPr>
          <w:color w:val="000000" w:themeColor="text1"/>
          <w:sz w:val="26"/>
          <w:szCs w:val="26"/>
        </w:rPr>
        <w:t xml:space="preserve"> организациям из бю</w:t>
      </w:r>
      <w:r>
        <w:rPr>
          <w:color w:val="000000" w:themeColor="text1"/>
          <w:sz w:val="26"/>
          <w:szCs w:val="26"/>
        </w:rPr>
        <w:t>джетной системы муниципального образования или субъекта РФ.</w:t>
      </w:r>
    </w:p>
    <w:p w:rsidR="00340733" w:rsidRDefault="0056743D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Контроль за</w:t>
      </w:r>
      <w:proofErr w:type="gramEnd"/>
      <w:r>
        <w:rPr>
          <w:color w:val="000000" w:themeColor="text1"/>
          <w:sz w:val="26"/>
          <w:szCs w:val="26"/>
        </w:rPr>
        <w:t xml:space="preserve">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:rsidR="00340733" w:rsidRDefault="0056743D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rFonts w:eastAsia="Calibri"/>
          <w:color w:val="000000" w:themeColor="text1"/>
          <w:sz w:val="26"/>
          <w:szCs w:val="26"/>
        </w:rPr>
        <w:lastRenderedPageBreak/>
        <w:t>Информация об установленных РСТ Югры та</w:t>
      </w:r>
      <w:r>
        <w:rPr>
          <w:rFonts w:eastAsia="Calibri"/>
          <w:color w:val="000000" w:themeColor="text1"/>
          <w:sz w:val="26"/>
          <w:szCs w:val="26"/>
        </w:rPr>
        <w:t xml:space="preserve">рифах на тепловую энергию, холодное водоснабжение, водоотведение, по обращению с ТКО размещена на сайте РСТ Югры </w:t>
      </w:r>
      <w:r>
        <w:rPr>
          <w:color w:val="000000" w:themeColor="text1"/>
          <w:sz w:val="26"/>
          <w:szCs w:val="26"/>
        </w:rPr>
        <w:t>(</w:t>
      </w:r>
      <w:hyperlink r:id="rId10" w:tooltip="http://bptr.eias.admhmao.ru/TariffDecisions?reg=RU.5.86" w:history="1">
        <w:r>
          <w:rPr>
            <w:color w:val="000000" w:themeColor="text1"/>
            <w:sz w:val="26"/>
            <w:szCs w:val="26"/>
          </w:rPr>
          <w:t>http://bp</w:t>
        </w:r>
        <w:r>
          <w:rPr>
            <w:color w:val="000000" w:themeColor="text1"/>
            <w:sz w:val="26"/>
            <w:szCs w:val="26"/>
          </w:rPr>
          <w:t>tr.eias.admhmao.ru/TariffDecisions?reg=RU.5.86/</w:t>
        </w:r>
      </w:hyperlink>
      <w:r>
        <w:rPr>
          <w:color w:val="000000" w:themeColor="text1"/>
          <w:sz w:val="26"/>
          <w:szCs w:val="26"/>
        </w:rPr>
        <w:t xml:space="preserve">) </w:t>
      </w:r>
      <w:r>
        <w:rPr>
          <w:rFonts w:eastAsia="Calibri"/>
          <w:color w:val="000000" w:themeColor="text1"/>
          <w:sz w:val="26"/>
          <w:szCs w:val="26"/>
        </w:rPr>
        <w:t>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>
        <w:rPr>
          <w:color w:val="000000" w:themeColor="text1"/>
          <w:sz w:val="26"/>
          <w:szCs w:val="26"/>
        </w:rPr>
        <w:t>/ «Газовая отрасль» (</w:t>
      </w:r>
      <w:hyperlink r:id="rId11" w:tooltip="https://rst.admhmao.ru/dokumenty/" w:history="1">
        <w:r>
          <w:rPr>
            <w:rStyle w:val="af4"/>
            <w:color w:val="000000" w:themeColor="text1"/>
            <w:sz w:val="26"/>
            <w:szCs w:val="26"/>
            <w:u w:val="none"/>
          </w:rPr>
          <w:t>https://rst.admhmao.ru/dokumenty/</w:t>
        </w:r>
      </w:hyperlink>
      <w:r>
        <w:rPr>
          <w:color w:val="000000" w:themeColor="text1"/>
          <w:sz w:val="26"/>
          <w:szCs w:val="26"/>
        </w:rPr>
        <w:t>).</w:t>
      </w:r>
      <w:proofErr w:type="gramEnd"/>
    </w:p>
    <w:p w:rsidR="00340733" w:rsidRDefault="0056743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 xml:space="preserve">На сайте </w:t>
      </w:r>
      <w:r>
        <w:rPr>
          <w:color w:val="000000" w:themeColor="text1"/>
          <w:sz w:val="26"/>
          <w:szCs w:val="26"/>
        </w:rPr>
        <w:t xml:space="preserve">регионального оператора по обращению с твердыми коммунальными отходами АО «Югра-Экология» </w:t>
      </w:r>
      <w:r>
        <w:rPr>
          <w:rFonts w:eastAsia="Arial Unicode MS"/>
          <w:color w:val="000000" w:themeColor="text1"/>
          <w:sz w:val="26"/>
          <w:szCs w:val="26"/>
        </w:rPr>
        <w:t xml:space="preserve">установлена программа для расчета платежа за услугу «Обращение с </w:t>
      </w:r>
      <w:r>
        <w:rPr>
          <w:rFonts w:eastAsia="Arial Unicode MS"/>
          <w:color w:val="000000" w:themeColor="text1"/>
          <w:sz w:val="26"/>
          <w:szCs w:val="26"/>
        </w:rPr>
        <w:t>ТКО» (</w:t>
      </w:r>
      <w:hyperlink r:id="rId12" w:tooltip="https://www.yugra-ecology.ru/calculator" w:history="1">
        <w:r>
          <w:rPr>
            <w:rStyle w:val="af4"/>
            <w:rFonts w:eastAsia="Arial Unicode MS"/>
            <w:color w:val="000000" w:themeColor="text1"/>
            <w:sz w:val="26"/>
            <w:szCs w:val="26"/>
            <w:u w:val="none"/>
          </w:rPr>
          <w:t>https://www.yugra-ecology.ru/calculator</w:t>
        </w:r>
      </w:hyperlink>
      <w:r>
        <w:rPr>
          <w:rFonts w:eastAsia="Arial Unicode MS"/>
          <w:color w:val="000000" w:themeColor="text1"/>
          <w:sz w:val="26"/>
          <w:szCs w:val="26"/>
        </w:rPr>
        <w:t>).</w:t>
      </w:r>
    </w:p>
    <w:p w:rsidR="00340733" w:rsidRDefault="0056743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Информация об установленных тарифах на электрическую энергию для населения размещена на сайте РЭК</w:t>
      </w:r>
      <w:r>
        <w:rPr>
          <w:rFonts w:eastAsia="Arial Unicode MS"/>
          <w:color w:val="000000" w:themeColor="text1"/>
          <w:sz w:val="26"/>
          <w:szCs w:val="26"/>
        </w:rPr>
        <w:t xml:space="preserve"> (</w:t>
      </w:r>
      <w:hyperlink r:id="rId13" w:tooltip="https://rec.admtyumen.ru/" w:history="1">
        <w:r>
          <w:rPr>
            <w:rStyle w:val="16"/>
            <w:rFonts w:eastAsia="Arial Unicode MS"/>
            <w:color w:val="000000" w:themeColor="text1"/>
            <w:sz w:val="26"/>
            <w:szCs w:val="26"/>
            <w:u w:val="none"/>
          </w:rPr>
          <w:t>https://rec.admtyumen.ru/</w:t>
        </w:r>
      </w:hyperlink>
      <w:r>
        <w:rPr>
          <w:rFonts w:eastAsia="Arial Unicode MS"/>
          <w:color w:val="000000" w:themeColor="text1"/>
          <w:sz w:val="26"/>
          <w:szCs w:val="26"/>
        </w:rPr>
        <w:t xml:space="preserve">) </w:t>
      </w:r>
      <w:r>
        <w:rPr>
          <w:rFonts w:eastAsia="Arial Unicode MS"/>
          <w:color w:val="000000" w:themeColor="text1"/>
          <w:sz w:val="26"/>
          <w:szCs w:val="26"/>
        </w:rPr>
        <w:t xml:space="preserve"> на главной странице «Деятельность», раздел «Нормативные правовые и ненормативные правовые акты».</w:t>
      </w:r>
    </w:p>
    <w:p w:rsidR="00340733" w:rsidRDefault="0056743D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rFonts w:eastAsia="Arial Unicode MS"/>
          <w:color w:val="000000" w:themeColor="text1"/>
          <w:sz w:val="26"/>
          <w:szCs w:val="26"/>
        </w:rPr>
        <w:t>Контроль за</w:t>
      </w:r>
      <w:proofErr w:type="gramEnd"/>
      <w:r>
        <w:rPr>
          <w:rFonts w:eastAsia="Arial Unicode MS"/>
          <w:color w:val="000000" w:themeColor="text1"/>
          <w:sz w:val="26"/>
          <w:szCs w:val="26"/>
        </w:rPr>
        <w:t xml:space="preserve"> правильностью установления размера платы за содержание</w:t>
      </w:r>
      <w:r>
        <w:rPr>
          <w:rFonts w:eastAsia="Arial Unicode MS"/>
          <w:color w:val="000000" w:themeColor="text1"/>
          <w:sz w:val="26"/>
          <w:szCs w:val="26"/>
        </w:rPr>
        <w:t xml:space="preserve"> и ремонт жилого помещения, определения размера и внесен</w:t>
      </w:r>
      <w:r>
        <w:rPr>
          <w:color w:val="000000" w:themeColor="text1"/>
          <w:sz w:val="26"/>
          <w:szCs w:val="26"/>
        </w:rPr>
        <w:t xml:space="preserve">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4" w:tooltip="http://www.jsn.admhmao.ru/" w:history="1">
        <w:r>
          <w:rPr>
            <w:rStyle w:val="af4"/>
            <w:color w:val="000000" w:themeColor="text1"/>
            <w:sz w:val="26"/>
            <w:szCs w:val="26"/>
          </w:rPr>
          <w:t>http://www.jsn.admhmao.ru/.</w:t>
        </w:r>
      </w:hyperlink>
    </w:p>
    <w:p w:rsidR="00340733" w:rsidRDefault="0056743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</w:t>
      </w:r>
      <w:proofErr w:type="gramStart"/>
      <w:r>
        <w:rPr>
          <w:rFonts w:eastAsia="Calibri"/>
          <w:color w:val="000000" w:themeColor="text1"/>
          <w:sz w:val="26"/>
          <w:szCs w:val="26"/>
        </w:rPr>
        <w:t>доме</w:t>
      </w:r>
      <w:proofErr w:type="gramEnd"/>
      <w:r>
        <w:rPr>
          <w:rFonts w:eastAsia="Calibri"/>
          <w:color w:val="000000" w:themeColor="text1"/>
          <w:sz w:val="26"/>
          <w:szCs w:val="26"/>
        </w:rPr>
        <w:t xml:space="preserve"> осуществляет Департамент строительства и жил</w:t>
      </w:r>
      <w:r>
        <w:rPr>
          <w:rFonts w:eastAsia="Calibri"/>
          <w:color w:val="000000" w:themeColor="text1"/>
          <w:sz w:val="26"/>
          <w:szCs w:val="26"/>
        </w:rPr>
        <w:t xml:space="preserve">ищно-коммунального комплекса Ханты-Мансийского автономного округа – Югры, сайт: </w:t>
      </w:r>
      <w:hyperlink r:id="rId15" w:tooltip="https://www.ds.admhmao.ru/" w:history="1">
        <w:r>
          <w:rPr>
            <w:rStyle w:val="af4"/>
            <w:color w:val="000000" w:themeColor="text1"/>
            <w:sz w:val="26"/>
            <w:szCs w:val="26"/>
          </w:rPr>
          <w:t>https://www.ds.admhmao.ru/</w:t>
        </w:r>
      </w:hyperlink>
      <w:r>
        <w:rPr>
          <w:rStyle w:val="af4"/>
          <w:color w:val="000000" w:themeColor="text1"/>
          <w:sz w:val="26"/>
          <w:szCs w:val="26"/>
        </w:rPr>
        <w:t>.</w:t>
      </w:r>
    </w:p>
    <w:p w:rsidR="00340733" w:rsidRPr="00D542DD" w:rsidRDefault="0056743D" w:rsidP="00D542DD">
      <w:pPr>
        <w:spacing w:line="276" w:lineRule="auto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Установление нормативов накопления твердых коммунальных отходов осуществл</w:t>
      </w:r>
      <w:r>
        <w:rPr>
          <w:color w:val="000000" w:themeColor="text1"/>
          <w:sz w:val="26"/>
          <w:szCs w:val="26"/>
        </w:rPr>
        <w:t>яет Департамент промышленности Ханты-Мансийского автономного округа – Югры</w:t>
      </w:r>
      <w:r>
        <w:rPr>
          <w:rStyle w:val="af4"/>
          <w:color w:val="000000" w:themeColor="text1"/>
          <w:sz w:val="26"/>
          <w:szCs w:val="26"/>
        </w:rPr>
        <w:t xml:space="preserve"> </w:t>
      </w:r>
      <w:hyperlink r:id="rId16" w:tooltip="https://depprom.admhmao.ru/" w:history="1">
        <w:r>
          <w:rPr>
            <w:rStyle w:val="af4"/>
            <w:color w:val="000000" w:themeColor="text1"/>
            <w:sz w:val="26"/>
            <w:szCs w:val="26"/>
          </w:rPr>
          <w:t>https://depprom.admhmao.ru/</w:t>
        </w:r>
      </w:hyperlink>
      <w:r>
        <w:rPr>
          <w:rStyle w:val="af4"/>
          <w:color w:val="000000" w:themeColor="text1"/>
          <w:sz w:val="26"/>
          <w:szCs w:val="26"/>
        </w:rPr>
        <w:t>.</w:t>
      </w:r>
      <w:bookmarkStart w:id="1" w:name="_GoBack"/>
      <w:bookmarkEnd w:id="1"/>
    </w:p>
    <w:sectPr w:rsidR="00340733" w:rsidRPr="00D542DD">
      <w:headerReference w:type="default" r:id="rId17"/>
      <w:headerReference w:type="first" r:id="rId18"/>
      <w:footerReference w:type="first" r:id="rId19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3D" w:rsidRDefault="0056743D">
      <w:r>
        <w:separator/>
      </w:r>
    </w:p>
  </w:endnote>
  <w:endnote w:type="continuationSeparator" w:id="0">
    <w:p w:rsidR="0056743D" w:rsidRDefault="0056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33" w:rsidRDefault="00340733">
    <w:pPr>
      <w:pStyle w:val="afb"/>
      <w:jc w:val="center"/>
    </w:pPr>
  </w:p>
  <w:p w:rsidR="00340733" w:rsidRDefault="00340733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3D" w:rsidRDefault="0056743D">
      <w:r>
        <w:separator/>
      </w:r>
    </w:p>
  </w:footnote>
  <w:footnote w:type="continuationSeparator" w:id="0">
    <w:p w:rsidR="0056743D" w:rsidRDefault="00567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33" w:rsidRDefault="00340733">
    <w:pPr>
      <w:pStyle w:val="af9"/>
      <w:jc w:val="center"/>
    </w:pPr>
  </w:p>
  <w:p w:rsidR="00340733" w:rsidRDefault="00340733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33" w:rsidRDefault="00340733">
    <w:pPr>
      <w:pStyle w:val="af9"/>
      <w:jc w:val="center"/>
    </w:pPr>
  </w:p>
  <w:p w:rsidR="00340733" w:rsidRDefault="00340733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024D"/>
    <w:multiLevelType w:val="multilevel"/>
    <w:tmpl w:val="7280FA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1">
    <w:nsid w:val="277159DF"/>
    <w:multiLevelType w:val="multilevel"/>
    <w:tmpl w:val="D2D256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2">
    <w:nsid w:val="2A2B5FA2"/>
    <w:multiLevelType w:val="hybridMultilevel"/>
    <w:tmpl w:val="3DE621CE"/>
    <w:lvl w:ilvl="0" w:tplc="38D470F6">
      <w:start w:val="1"/>
      <w:numFmt w:val="decimal"/>
      <w:lvlText w:val="%1."/>
      <w:lvlJc w:val="left"/>
      <w:pPr>
        <w:ind w:left="720" w:hanging="360"/>
      </w:pPr>
    </w:lvl>
    <w:lvl w:ilvl="1" w:tplc="EE909420">
      <w:start w:val="1"/>
      <w:numFmt w:val="lowerLetter"/>
      <w:lvlText w:val="%2."/>
      <w:lvlJc w:val="left"/>
      <w:pPr>
        <w:ind w:left="1440" w:hanging="360"/>
      </w:pPr>
    </w:lvl>
    <w:lvl w:ilvl="2" w:tplc="39EA1F5E">
      <w:start w:val="1"/>
      <w:numFmt w:val="lowerRoman"/>
      <w:lvlText w:val="%3."/>
      <w:lvlJc w:val="right"/>
      <w:pPr>
        <w:ind w:left="2160" w:hanging="180"/>
      </w:pPr>
    </w:lvl>
    <w:lvl w:ilvl="3" w:tplc="CDF25F3A">
      <w:start w:val="1"/>
      <w:numFmt w:val="decimal"/>
      <w:lvlText w:val="%4."/>
      <w:lvlJc w:val="left"/>
      <w:pPr>
        <w:ind w:left="2880" w:hanging="360"/>
      </w:pPr>
    </w:lvl>
    <w:lvl w:ilvl="4" w:tplc="A8C87588">
      <w:start w:val="1"/>
      <w:numFmt w:val="lowerLetter"/>
      <w:lvlText w:val="%5."/>
      <w:lvlJc w:val="left"/>
      <w:pPr>
        <w:ind w:left="3600" w:hanging="360"/>
      </w:pPr>
    </w:lvl>
    <w:lvl w:ilvl="5" w:tplc="44909B22">
      <w:start w:val="1"/>
      <w:numFmt w:val="lowerRoman"/>
      <w:lvlText w:val="%6."/>
      <w:lvlJc w:val="right"/>
      <w:pPr>
        <w:ind w:left="4320" w:hanging="180"/>
      </w:pPr>
    </w:lvl>
    <w:lvl w:ilvl="6" w:tplc="036C9DB8">
      <w:start w:val="1"/>
      <w:numFmt w:val="decimal"/>
      <w:lvlText w:val="%7."/>
      <w:lvlJc w:val="left"/>
      <w:pPr>
        <w:ind w:left="5040" w:hanging="360"/>
      </w:pPr>
    </w:lvl>
    <w:lvl w:ilvl="7" w:tplc="2BC6D0BE">
      <w:start w:val="1"/>
      <w:numFmt w:val="lowerLetter"/>
      <w:lvlText w:val="%8."/>
      <w:lvlJc w:val="left"/>
      <w:pPr>
        <w:ind w:left="5760" w:hanging="360"/>
      </w:pPr>
    </w:lvl>
    <w:lvl w:ilvl="8" w:tplc="9886E45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741C0"/>
    <w:multiLevelType w:val="hybridMultilevel"/>
    <w:tmpl w:val="2A64A3E6"/>
    <w:lvl w:ilvl="0" w:tplc="3F7C0810">
      <w:start w:val="1"/>
      <w:numFmt w:val="decimal"/>
      <w:lvlText w:val="%1."/>
      <w:lvlJc w:val="left"/>
      <w:pPr>
        <w:ind w:left="360" w:hanging="360"/>
      </w:pPr>
    </w:lvl>
    <w:lvl w:ilvl="1" w:tplc="AD9EF1C8">
      <w:start w:val="1"/>
      <w:numFmt w:val="lowerLetter"/>
      <w:lvlText w:val="%2."/>
      <w:lvlJc w:val="left"/>
      <w:pPr>
        <w:ind w:left="1080" w:hanging="360"/>
      </w:pPr>
    </w:lvl>
    <w:lvl w:ilvl="2" w:tplc="15FE112E">
      <w:start w:val="1"/>
      <w:numFmt w:val="lowerRoman"/>
      <w:lvlText w:val="%3."/>
      <w:lvlJc w:val="right"/>
      <w:pPr>
        <w:ind w:left="1800" w:hanging="180"/>
      </w:pPr>
    </w:lvl>
    <w:lvl w:ilvl="3" w:tplc="5EF0B660">
      <w:start w:val="1"/>
      <w:numFmt w:val="decimal"/>
      <w:lvlText w:val="%4."/>
      <w:lvlJc w:val="left"/>
      <w:pPr>
        <w:ind w:left="2520" w:hanging="360"/>
      </w:pPr>
    </w:lvl>
    <w:lvl w:ilvl="4" w:tplc="088084A0">
      <w:start w:val="1"/>
      <w:numFmt w:val="lowerLetter"/>
      <w:lvlText w:val="%5."/>
      <w:lvlJc w:val="left"/>
      <w:pPr>
        <w:ind w:left="3240" w:hanging="360"/>
      </w:pPr>
    </w:lvl>
    <w:lvl w:ilvl="5" w:tplc="6E5C5BC4">
      <w:start w:val="1"/>
      <w:numFmt w:val="lowerRoman"/>
      <w:lvlText w:val="%6."/>
      <w:lvlJc w:val="right"/>
      <w:pPr>
        <w:ind w:left="3960" w:hanging="180"/>
      </w:pPr>
    </w:lvl>
    <w:lvl w:ilvl="6" w:tplc="C83AD85A">
      <w:start w:val="1"/>
      <w:numFmt w:val="decimal"/>
      <w:lvlText w:val="%7."/>
      <w:lvlJc w:val="left"/>
      <w:pPr>
        <w:ind w:left="4680" w:hanging="360"/>
      </w:pPr>
    </w:lvl>
    <w:lvl w:ilvl="7" w:tplc="AE5EE284">
      <w:start w:val="1"/>
      <w:numFmt w:val="lowerLetter"/>
      <w:lvlText w:val="%8."/>
      <w:lvlJc w:val="left"/>
      <w:pPr>
        <w:ind w:left="5400" w:hanging="360"/>
      </w:pPr>
    </w:lvl>
    <w:lvl w:ilvl="8" w:tplc="91A8562C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6314D3"/>
    <w:multiLevelType w:val="hybridMultilevel"/>
    <w:tmpl w:val="30220F12"/>
    <w:lvl w:ilvl="0" w:tplc="69986F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9DCD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C0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4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81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AC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01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A49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8C6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D18FC"/>
    <w:multiLevelType w:val="hybridMultilevel"/>
    <w:tmpl w:val="48A68D3E"/>
    <w:lvl w:ilvl="0" w:tplc="283CE0C8">
      <w:start w:val="1"/>
      <w:numFmt w:val="decimal"/>
      <w:lvlText w:val="%1."/>
      <w:lvlJc w:val="left"/>
      <w:pPr>
        <w:ind w:left="1260" w:hanging="360"/>
      </w:pPr>
    </w:lvl>
    <w:lvl w:ilvl="1" w:tplc="0CAECA3A">
      <w:start w:val="1"/>
      <w:numFmt w:val="lowerLetter"/>
      <w:lvlText w:val="%2."/>
      <w:lvlJc w:val="left"/>
      <w:pPr>
        <w:ind w:left="1980" w:hanging="360"/>
      </w:pPr>
    </w:lvl>
    <w:lvl w:ilvl="2" w:tplc="B7A6084A">
      <w:start w:val="1"/>
      <w:numFmt w:val="lowerRoman"/>
      <w:lvlText w:val="%3."/>
      <w:lvlJc w:val="right"/>
      <w:pPr>
        <w:ind w:left="2700" w:hanging="180"/>
      </w:pPr>
    </w:lvl>
    <w:lvl w:ilvl="3" w:tplc="82C07A56">
      <w:start w:val="1"/>
      <w:numFmt w:val="decimal"/>
      <w:lvlText w:val="%4."/>
      <w:lvlJc w:val="left"/>
      <w:pPr>
        <w:ind w:left="3420" w:hanging="360"/>
      </w:pPr>
    </w:lvl>
    <w:lvl w:ilvl="4" w:tplc="9C6E9282">
      <w:start w:val="1"/>
      <w:numFmt w:val="lowerLetter"/>
      <w:lvlText w:val="%5."/>
      <w:lvlJc w:val="left"/>
      <w:pPr>
        <w:ind w:left="4140" w:hanging="360"/>
      </w:pPr>
    </w:lvl>
    <w:lvl w:ilvl="5" w:tplc="FECA33B0">
      <w:start w:val="1"/>
      <w:numFmt w:val="lowerRoman"/>
      <w:lvlText w:val="%6."/>
      <w:lvlJc w:val="right"/>
      <w:pPr>
        <w:ind w:left="4860" w:hanging="180"/>
      </w:pPr>
    </w:lvl>
    <w:lvl w:ilvl="6" w:tplc="52AE3E08">
      <w:start w:val="1"/>
      <w:numFmt w:val="decimal"/>
      <w:lvlText w:val="%7."/>
      <w:lvlJc w:val="left"/>
      <w:pPr>
        <w:ind w:left="5580" w:hanging="360"/>
      </w:pPr>
    </w:lvl>
    <w:lvl w:ilvl="7" w:tplc="4C7218E2">
      <w:start w:val="1"/>
      <w:numFmt w:val="lowerLetter"/>
      <w:lvlText w:val="%8."/>
      <w:lvlJc w:val="left"/>
      <w:pPr>
        <w:ind w:left="6300" w:hanging="360"/>
      </w:pPr>
    </w:lvl>
    <w:lvl w:ilvl="8" w:tplc="FA181EB6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7B85BE7"/>
    <w:multiLevelType w:val="hybridMultilevel"/>
    <w:tmpl w:val="D99E1160"/>
    <w:lvl w:ilvl="0" w:tplc="F60CDBE4">
      <w:start w:val="1"/>
      <w:numFmt w:val="decimal"/>
      <w:lvlText w:val="%1."/>
      <w:lvlJc w:val="left"/>
      <w:pPr>
        <w:ind w:left="1428" w:hanging="360"/>
      </w:pPr>
    </w:lvl>
    <w:lvl w:ilvl="1" w:tplc="52AAA180">
      <w:start w:val="1"/>
      <w:numFmt w:val="lowerLetter"/>
      <w:lvlText w:val="%2."/>
      <w:lvlJc w:val="left"/>
      <w:pPr>
        <w:ind w:left="2148" w:hanging="360"/>
      </w:pPr>
    </w:lvl>
    <w:lvl w:ilvl="2" w:tplc="223EEA9C">
      <w:start w:val="1"/>
      <w:numFmt w:val="lowerRoman"/>
      <w:lvlText w:val="%3."/>
      <w:lvlJc w:val="right"/>
      <w:pPr>
        <w:ind w:left="2868" w:hanging="180"/>
      </w:pPr>
    </w:lvl>
    <w:lvl w:ilvl="3" w:tplc="1E7CE844">
      <w:start w:val="1"/>
      <w:numFmt w:val="decimal"/>
      <w:lvlText w:val="%4."/>
      <w:lvlJc w:val="left"/>
      <w:pPr>
        <w:ind w:left="3588" w:hanging="360"/>
      </w:pPr>
    </w:lvl>
    <w:lvl w:ilvl="4" w:tplc="0248C102">
      <w:start w:val="1"/>
      <w:numFmt w:val="lowerLetter"/>
      <w:lvlText w:val="%5."/>
      <w:lvlJc w:val="left"/>
      <w:pPr>
        <w:ind w:left="4308" w:hanging="360"/>
      </w:pPr>
    </w:lvl>
    <w:lvl w:ilvl="5" w:tplc="F25EA904">
      <w:start w:val="1"/>
      <w:numFmt w:val="lowerRoman"/>
      <w:lvlText w:val="%6."/>
      <w:lvlJc w:val="right"/>
      <w:pPr>
        <w:ind w:left="5028" w:hanging="180"/>
      </w:pPr>
    </w:lvl>
    <w:lvl w:ilvl="6" w:tplc="AC42C9C4">
      <w:start w:val="1"/>
      <w:numFmt w:val="decimal"/>
      <w:lvlText w:val="%7."/>
      <w:lvlJc w:val="left"/>
      <w:pPr>
        <w:ind w:left="5748" w:hanging="360"/>
      </w:pPr>
    </w:lvl>
    <w:lvl w:ilvl="7" w:tplc="0D5E15B4">
      <w:start w:val="1"/>
      <w:numFmt w:val="lowerLetter"/>
      <w:lvlText w:val="%8."/>
      <w:lvlJc w:val="left"/>
      <w:pPr>
        <w:ind w:left="6468" w:hanging="360"/>
      </w:pPr>
    </w:lvl>
    <w:lvl w:ilvl="8" w:tplc="E640BF3E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8C845CB"/>
    <w:multiLevelType w:val="hybridMultilevel"/>
    <w:tmpl w:val="92A2D08E"/>
    <w:lvl w:ilvl="0" w:tplc="950C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64B1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4E1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F8DD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4AE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3826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1643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266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E2BB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AE0BB9"/>
    <w:multiLevelType w:val="hybridMultilevel"/>
    <w:tmpl w:val="D44AA8BE"/>
    <w:lvl w:ilvl="0" w:tplc="0FE40E48">
      <w:start w:val="1"/>
      <w:numFmt w:val="decimal"/>
      <w:lvlText w:val="%1."/>
      <w:lvlJc w:val="left"/>
      <w:pPr>
        <w:ind w:left="720" w:hanging="360"/>
      </w:pPr>
    </w:lvl>
    <w:lvl w:ilvl="1" w:tplc="3634C060">
      <w:start w:val="1"/>
      <w:numFmt w:val="lowerLetter"/>
      <w:lvlText w:val="%2."/>
      <w:lvlJc w:val="left"/>
      <w:pPr>
        <w:ind w:left="1440" w:hanging="360"/>
      </w:pPr>
    </w:lvl>
    <w:lvl w:ilvl="2" w:tplc="9D680666">
      <w:start w:val="1"/>
      <w:numFmt w:val="lowerRoman"/>
      <w:lvlText w:val="%3."/>
      <w:lvlJc w:val="right"/>
      <w:pPr>
        <w:ind w:left="2160" w:hanging="180"/>
      </w:pPr>
    </w:lvl>
    <w:lvl w:ilvl="3" w:tplc="F0BCF114">
      <w:start w:val="1"/>
      <w:numFmt w:val="decimal"/>
      <w:lvlText w:val="%4."/>
      <w:lvlJc w:val="left"/>
      <w:pPr>
        <w:ind w:left="2880" w:hanging="360"/>
      </w:pPr>
    </w:lvl>
    <w:lvl w:ilvl="4" w:tplc="4880BA7A">
      <w:start w:val="1"/>
      <w:numFmt w:val="lowerLetter"/>
      <w:lvlText w:val="%5."/>
      <w:lvlJc w:val="left"/>
      <w:pPr>
        <w:ind w:left="3600" w:hanging="360"/>
      </w:pPr>
    </w:lvl>
    <w:lvl w:ilvl="5" w:tplc="81006290">
      <w:start w:val="1"/>
      <w:numFmt w:val="lowerRoman"/>
      <w:lvlText w:val="%6."/>
      <w:lvlJc w:val="right"/>
      <w:pPr>
        <w:ind w:left="4320" w:hanging="180"/>
      </w:pPr>
    </w:lvl>
    <w:lvl w:ilvl="6" w:tplc="A638249A">
      <w:start w:val="1"/>
      <w:numFmt w:val="decimal"/>
      <w:lvlText w:val="%7."/>
      <w:lvlJc w:val="left"/>
      <w:pPr>
        <w:ind w:left="5040" w:hanging="360"/>
      </w:pPr>
    </w:lvl>
    <w:lvl w:ilvl="7" w:tplc="8A3C9F26">
      <w:start w:val="1"/>
      <w:numFmt w:val="lowerLetter"/>
      <w:lvlText w:val="%8."/>
      <w:lvlJc w:val="left"/>
      <w:pPr>
        <w:ind w:left="5760" w:hanging="360"/>
      </w:pPr>
    </w:lvl>
    <w:lvl w:ilvl="8" w:tplc="ECEA720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B463B"/>
    <w:multiLevelType w:val="hybridMultilevel"/>
    <w:tmpl w:val="180CCA32"/>
    <w:lvl w:ilvl="0" w:tplc="8E549320">
      <w:start w:val="1"/>
      <w:numFmt w:val="decimal"/>
      <w:lvlText w:val="%1."/>
      <w:lvlJc w:val="left"/>
      <w:pPr>
        <w:ind w:left="720" w:hanging="360"/>
      </w:pPr>
    </w:lvl>
    <w:lvl w:ilvl="1" w:tplc="D6169264">
      <w:start w:val="1"/>
      <w:numFmt w:val="lowerLetter"/>
      <w:lvlText w:val="%2."/>
      <w:lvlJc w:val="left"/>
      <w:pPr>
        <w:ind w:left="1440" w:hanging="360"/>
      </w:pPr>
    </w:lvl>
    <w:lvl w:ilvl="2" w:tplc="8B604442">
      <w:start w:val="1"/>
      <w:numFmt w:val="lowerRoman"/>
      <w:lvlText w:val="%3."/>
      <w:lvlJc w:val="right"/>
      <w:pPr>
        <w:ind w:left="2160" w:hanging="180"/>
      </w:pPr>
    </w:lvl>
    <w:lvl w:ilvl="3" w:tplc="15BC118C">
      <w:start w:val="1"/>
      <w:numFmt w:val="decimal"/>
      <w:lvlText w:val="%4."/>
      <w:lvlJc w:val="left"/>
      <w:pPr>
        <w:ind w:left="2880" w:hanging="360"/>
      </w:pPr>
    </w:lvl>
    <w:lvl w:ilvl="4" w:tplc="94D8C9C6">
      <w:start w:val="1"/>
      <w:numFmt w:val="lowerLetter"/>
      <w:lvlText w:val="%5."/>
      <w:lvlJc w:val="left"/>
      <w:pPr>
        <w:ind w:left="3600" w:hanging="360"/>
      </w:pPr>
    </w:lvl>
    <w:lvl w:ilvl="5" w:tplc="2FD8EEBC">
      <w:start w:val="1"/>
      <w:numFmt w:val="lowerRoman"/>
      <w:lvlText w:val="%6."/>
      <w:lvlJc w:val="right"/>
      <w:pPr>
        <w:ind w:left="4320" w:hanging="180"/>
      </w:pPr>
    </w:lvl>
    <w:lvl w:ilvl="6" w:tplc="4A5E47C6">
      <w:start w:val="1"/>
      <w:numFmt w:val="decimal"/>
      <w:lvlText w:val="%7."/>
      <w:lvlJc w:val="left"/>
      <w:pPr>
        <w:ind w:left="5040" w:hanging="360"/>
      </w:pPr>
    </w:lvl>
    <w:lvl w:ilvl="7" w:tplc="E4344B84">
      <w:start w:val="1"/>
      <w:numFmt w:val="lowerLetter"/>
      <w:lvlText w:val="%8."/>
      <w:lvlJc w:val="left"/>
      <w:pPr>
        <w:ind w:left="5760" w:hanging="360"/>
      </w:pPr>
    </w:lvl>
    <w:lvl w:ilvl="8" w:tplc="6A84E1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33"/>
    <w:rsid w:val="00340733"/>
    <w:rsid w:val="0056743D"/>
    <w:rsid w:val="00D5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3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ahoma" w:hAnsi="Tahoma" w:cs="Tahoma"/>
      <w:sz w:val="24"/>
      <w:szCs w:val="24"/>
      <w:lang w:eastAsia="zh-CN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3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ahoma" w:hAnsi="Tahoma" w:cs="Tahoma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c.admtyumen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ugra-ecology.ru/calculato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epprom.admhmao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dokument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s.admhmao.ru/" TargetMode="External"/><Relationship Id="rId10" Type="http://schemas.openxmlformats.org/officeDocument/2006/relationships/hyperlink" Target="http://bptr.eias.admhmao.ru/TariffDecisions?reg=RU.5.86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admhmao.ru/dokumenty/pravovye-akty-gubernatora/9559393/" TargetMode="External"/><Relationship Id="rId14" Type="http://schemas.openxmlformats.org/officeDocument/2006/relationships/hyperlink" Target="http://www.jsn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A1BF-25EF-41F7-BBB0-CF1B7DB8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Цапаева Анна Олеговна</cp:lastModifiedBy>
  <cp:revision>18</cp:revision>
  <dcterms:created xsi:type="dcterms:W3CDTF">2023-11-22T04:38:00Z</dcterms:created>
  <dcterms:modified xsi:type="dcterms:W3CDTF">2024-01-30T06:26:00Z</dcterms:modified>
</cp:coreProperties>
</file>