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города</w:t>
      </w:r>
      <w:r/>
    </w:p>
    <w:p>
      <w:pPr>
        <w:ind w:right="4932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4932"/>
        <w:jc w:val="both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 внесении изменений в постановление администрации города от 28.06.2019 №500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"Об утверждении Положения о порядке реализации мероприятий в сфере укрепления межнационального и межконфессионального согласия, профилактики экстремизма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и терроризма в городе Нижневартовске"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(с изменениями от 28.08.2019 №718, 17.07.2020 №621, 02.02.2021 №64</w:t>
      </w:r>
      <w:r>
        <w:rPr>
          <w:rFonts w:ascii="Times New Roman" w:hAnsi="Times New Roman"/>
          <w:sz w:val="24"/>
          <w:szCs w:val="28"/>
        </w:rPr>
        <w:t xml:space="preserve">, 14.01.2022 №7, 16.02.2022 №70, 16.08.2022 №576, 09.12.2022 №857</w:t>
      </w:r>
      <w:r>
        <w:rPr>
          <w:rFonts w:ascii="Times New Roman" w:hAnsi="Times New Roman"/>
          <w:sz w:val="24"/>
          <w:szCs w:val="28"/>
        </w:rPr>
        <w:t xml:space="preserve">)</w:t>
      </w:r>
      <w:r/>
    </w:p>
    <w:p>
      <w:pPr>
        <w:ind w:right="4932"/>
        <w:jc w:val="both"/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  <w:r>
        <w:rPr>
          <w:rFonts w:ascii="Times New Roman" w:hAnsi="Times New Roman"/>
          <w:sz w:val="28"/>
          <w:szCs w:val="32"/>
        </w:rPr>
      </w:r>
      <w:r/>
    </w:p>
    <w:p>
      <w:pPr>
        <w:ind w:right="4932"/>
        <w:jc w:val="both"/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  <w:r>
        <w:rPr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В </w:t>
      </w:r>
      <w:r>
        <w:rPr>
          <w:rFonts w:ascii="Times New Roman" w:hAnsi="Times New Roman"/>
          <w:sz w:val="28"/>
          <w:szCs w:val="28"/>
          <w:highlight w:val="white"/>
        </w:rPr>
        <w:t xml:space="preserve">связи со структурными изменениями в администрации города, </w:t>
      </w:r>
      <w:r>
        <w:rPr>
          <w:rFonts w:ascii="Times New Roman" w:hAnsi="Times New Roman"/>
          <w:sz w:val="28"/>
          <w:szCs w:val="28"/>
          <w:highlight w:val="white"/>
        </w:rPr>
        <w:t xml:space="preserve">в целях приведения муниципального правового акта в соответствие с действующим законодательством</w:t>
      </w:r>
      <w:r>
        <w:rPr>
          <w:rFonts w:ascii="Times New Roman" w:hAnsi="Times New Roman"/>
          <w:sz w:val="28"/>
          <w:szCs w:val="28"/>
          <w:highlight w:val="white"/>
        </w:rPr>
        <w:t xml:space="preserve">: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0"/>
          <w:szCs w:val="20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821"/>
        <w:numPr>
          <w:ilvl w:val="0"/>
          <w:numId w:val="1"/>
        </w:numPr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Внести изменения в постановление администрации города                        от 28.06.2019 №500 "Об утверждении Положения о порядке реализации мероприятий в сфере укрепления межнацион</w:t>
      </w:r>
      <w:r>
        <w:rPr>
          <w:rFonts w:ascii="Times New Roman" w:hAnsi="Times New Roman"/>
          <w:sz w:val="28"/>
          <w:szCs w:val="28"/>
          <w:highlight w:val="white"/>
        </w:rPr>
        <w:t xml:space="preserve">ального и межконфессионального согласия, профилактики экстремизма и терроризма в городе Нижневартовске" (с изменениями от 28.08.2019 №718, 17.07.2020 №621, 02.02.2021 №64, 14.01.2022 №7, 16.02.2022 №70, 16.08.2022 №576, 09.12.2022 №857):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contextualSpacing w:val="0"/>
        <w:ind w:left="0"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highlight w:val="none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 xml:space="preserve">В заголовке, преамбуле и </w:t>
      </w:r>
      <w:r>
        <w:rPr>
          <w:rFonts w:ascii="Times New Roman" w:hAnsi="Times New Roman"/>
          <w:color w:val="000000"/>
          <w:sz w:val="28"/>
          <w:szCs w:val="28"/>
        </w:rPr>
        <w:t xml:space="preserve">пункте 1 </w:t>
      </w:r>
      <w:r>
        <w:rPr>
          <w:rFonts w:ascii="Times New Roman" w:hAnsi="Times New Roman"/>
          <w:color w:val="000000"/>
          <w:sz w:val="28"/>
          <w:szCs w:val="28"/>
        </w:rPr>
        <w:t xml:space="preserve">слова "</w:t>
      </w:r>
      <w:r>
        <w:rPr>
          <w:rFonts w:ascii="Times New Roman" w:hAnsi="Times New Roman"/>
          <w:color w:val="000000"/>
          <w:sz w:val="28"/>
          <w:szCs w:val="28"/>
        </w:rPr>
        <w:t xml:space="preserve">и терроризма</w:t>
      </w:r>
      <w:r>
        <w:rPr>
          <w:rFonts w:ascii="Times New Roman" w:hAnsi="Times New Roman"/>
          <w:color w:val="000000"/>
          <w:sz w:val="28"/>
          <w:szCs w:val="28"/>
        </w:rPr>
        <w:t xml:space="preserve">" исключить.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contextualSpacing w:val="0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В пункте 4 слова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Н.В. Лукаша"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 заменить словами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О.Н. Хотинецкого"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.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contextualSpacing w:val="0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/>
          <w:sz w:val="28"/>
          <w:szCs w:val="28"/>
          <w:highlight w:val="none"/>
        </w:rPr>
        <w:t xml:space="preserve">1.3. Приложение изложить в новой редакции согласно приложению к настоящему постановлению.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Департаменту общественных коммуникаций </w:t>
      </w:r>
      <w:r>
        <w:rPr>
          <w:rFonts w:ascii="Times New Roman" w:hAnsi="Times New Roman"/>
          <w:sz w:val="28"/>
          <w:szCs w:val="28"/>
        </w:rPr>
        <w:t xml:space="preserve">и молодежной политики администрации </w:t>
      </w:r>
      <w:r>
        <w:rPr>
          <w:rFonts w:ascii="Times New Roman" w:hAnsi="Times New Roman"/>
          <w:sz w:val="28"/>
          <w:szCs w:val="28"/>
        </w:rPr>
        <w:t xml:space="preserve">города (</w:t>
      </w:r>
      <w:r>
        <w:rPr>
          <w:rFonts w:ascii="Times New Roman" w:hAnsi="Times New Roman"/>
          <w:sz w:val="28"/>
          <w:szCs w:val="28"/>
        </w:rPr>
        <w:t xml:space="preserve">О.В. Котова</w:t>
      </w:r>
      <w:r>
        <w:rPr>
          <w:rFonts w:ascii="Times New Roman" w:hAnsi="Times New Roman"/>
          <w:sz w:val="28"/>
          <w:szCs w:val="28"/>
        </w:rPr>
        <w:t xml:space="preserve">) обеспечить официальное опубликование постановления.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  <w:highlight w:val="white"/>
        </w:rPr>
        <w:t xml:space="preserve"> Постановление 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 w:val="0"/>
        <w:jc w:val="both"/>
        <w:spacing w:after="0" w:line="240" w:lineRule="auto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 w:val="0"/>
        <w:jc w:val="both"/>
        <w:spacing w:after="0" w:line="240" w:lineRule="auto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Д.А. Кощенко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5664"/>
        <w:jc w:val="left"/>
        <w:spacing w:after="0" w:line="240" w:lineRule="auto"/>
        <w:rPr>
          <w:rFonts w:ascii="Times New Roman" w:hAnsi="Times New Roman"/>
          <w:sz w:val="28"/>
          <w:szCs w:val="28"/>
        </w:rPr>
        <w:sectPr>
          <w:footnotePr/>
          <w:endnotePr/>
          <w:type w:val="nextPage"/>
          <w:pgSz w:w="11900" w:h="16840" w:orient="portrait"/>
          <w:pgMar w:top="1134" w:right="850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5664"/>
        <w:jc w:val="left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/>
    </w:p>
    <w:p>
      <w:pPr>
        <w:ind w:left="5664"/>
        <w:jc w:val="lef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</w:t>
      </w:r>
      <w:r/>
    </w:p>
    <w:p>
      <w:pPr>
        <w:ind w:left="5664"/>
        <w:jc w:val="lef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_____________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________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  <w:highlight w:val="none"/>
        </w:rPr>
        <w:t xml:space="preserve">о порядке реализации мероприятий в сфере укрепления</w:t>
      </w:r>
      <w:r>
        <w:rPr>
          <w:rFonts w:ascii="Times New Roman" w:hAnsi="Times New Roman"/>
          <w:b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  <w:highlight w:val="none"/>
        </w:rPr>
        <w:t xml:space="preserve">межнационального и межконфессионального согласия, профилактики экстремизма в городе Нижневартовске</w:t>
      </w:r>
      <w:r>
        <w:rPr>
          <w:rFonts w:ascii="Times New Roman" w:hAnsi="Times New Roman"/>
          <w:b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  <w:highlight w:val="none"/>
        </w:rPr>
        <w:t xml:space="preserve">I. Общие положения</w:t>
      </w:r>
      <w:r>
        <w:rPr>
          <w:rFonts w:ascii="Times New Roman" w:hAnsi="Times New Roman"/>
          <w:b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sz w:val="28"/>
          <w:szCs w:val="28"/>
          <w:highlight w:val="none"/>
        </w:rPr>
      </w:r>
      <w:r/>
    </w:p>
    <w:p>
      <w:pPr>
        <w:contextualSpacing w:val="0"/>
        <w:ind w:firstLine="709"/>
        <w:jc w:val="both"/>
        <w:spacing w:after="0" w:line="240" w:lineRule="auto"/>
        <w:rPr>
          <w:b w:val="0"/>
          <w:bCs w:val="0"/>
        </w:rPr>
        <w:suppressLineNumbers w:val="0"/>
      </w:pP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1.1. Положение о порядке реализации мероприятий в сфере укрепления межнационального и межконфессионального согласия, профилактики экстремизма в городе Нижневартовске регламентирует механизм реализации мероприятий и направления расходования сред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ств бюджета города Нижневартовска в пределах объема бюджетных ассигнований, предусмотренных на реализацию мероприятий муниципальной программы "Укрепление межнационального и межконфессионального согласия, профилактика экстремизма в городе Нижнев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артовске" (далее - муниципальная программа), утвержденной постановлением администрации города от 14.12.2018 №1436.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  <w:r/>
    </w:p>
    <w:p>
      <w:pPr>
        <w:contextualSpacing w:val="0"/>
        <w:ind w:firstLine="709"/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  <w:highlight w:val="none"/>
        </w:rPr>
        <w:suppressLineNumbers w:val="0"/>
      </w:pP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1.2. Ответственным исполнителем по контролю за выполнением основных мероприятий муниципальной программы в сфере укрепления межнационального и межконфессионального согласия, профилактики экстремизма в городе Нижневартовске, а также по обеспечени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ю координации деятельности соисполнителей муниципальной программы является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епартамент общественных коммуникаций и молодежной политики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 администрации города.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  <w:r/>
    </w:p>
    <w:p>
      <w:pPr>
        <w:contextualSpacing w:val="0"/>
        <w:ind w:firstLine="709"/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  <w:highlight w:val="none"/>
        </w:rPr>
        <w:suppressLineNumbers w:val="0"/>
      </w:pP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  <w:r/>
    </w:p>
    <w:p>
      <w:pPr>
        <w:contextualSpacing w:val="0"/>
        <w:ind w:firstLine="0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none"/>
        </w:rPr>
        <w:suppressLineNumbers w:val="0"/>
      </w:pPr>
      <w:r>
        <w:rPr>
          <w:rFonts w:ascii="Times New Roman" w:hAnsi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  <w:highlight w:val="none"/>
        </w:rPr>
        <w:t xml:space="preserve">II. Механизм реализации мероприятий в сфере укрепления</w:t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  <w:r/>
    </w:p>
    <w:p>
      <w:pPr>
        <w:contextualSpacing w:val="0"/>
        <w:ind w:firstLine="0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none"/>
        </w:rPr>
        <w:suppressLineNumbers w:val="0"/>
      </w:pPr>
      <w:r>
        <w:rPr>
          <w:rFonts w:ascii="Times New Roman" w:hAnsi="Times New Roman"/>
          <w:b/>
          <w:bCs/>
          <w:sz w:val="28"/>
          <w:szCs w:val="28"/>
          <w:highlight w:val="none"/>
        </w:rPr>
        <w:t xml:space="preserve">межнационального и межконфессионального согласия,</w:t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  <w:r/>
    </w:p>
    <w:p>
      <w:pPr>
        <w:contextualSpacing w:val="0"/>
        <w:ind w:firstLine="0"/>
        <w:jc w:val="center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  <w:highlight w:val="none"/>
        </w:rPr>
        <w:suppressLineNumbers w:val="0"/>
      </w:pPr>
      <w:r>
        <w:rPr>
          <w:rFonts w:ascii="Times New Roman" w:hAnsi="Times New Roman"/>
          <w:b/>
          <w:bCs/>
          <w:sz w:val="28"/>
          <w:szCs w:val="28"/>
          <w:highlight w:val="none"/>
        </w:rPr>
        <w:t xml:space="preserve">профилактики экстремизма в городе Нижневартовске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  <w:r/>
    </w:p>
    <w:p>
      <w:pPr>
        <w:contextualSpacing w:val="0"/>
        <w:ind w:firstLine="709"/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  <w:suppressLineNumbers w:val="0"/>
      </w:pP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  <w:r/>
    </w:p>
    <w:p>
      <w:pPr>
        <w:pStyle w:val="821"/>
        <w:ind w:left="0"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.1. Основные мероприятия задачи 1 "Укрепление межнационального и межконфессионального согласия, сохранение этнокультурного многообразия и языков народов Российской Федерации, проживающих в городе Нижневартовске, укрепление их духовной общности и создание у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с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ловий для обеспечения прав народов Российской Федерации в социально-культурной сфере" муниципальной программы реализуются 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департаментом общественных коммуникаций и молодежной политики администрации города, в том числе совместно с муниципальным автономным учр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еждением города Нижневартовска "Молодежный центр",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 департаментом по социальной политике администрации города совместно с муниципальными учреждениями в сфере культуры, физической культур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ы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 и спорта, департаментом образования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администрации города совместно с муниципальными организациями в сфере образования,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муниципальным казенным учреждением "Управление материально-технического обеспечения деятельности органов местного самоуп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равления города Нижневартовска" (далее - МКУ "УМТО")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821"/>
        <w:ind w:left="0" w:firstLine="709"/>
        <w:jc w:val="both"/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.2. Основные мероприятия задачи 2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 муниципальной программы реализуются департаментом по социально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й политике администрации города совместно с муниципальными учреждениями в сфере культуры, физической культуры и спорта, департаментом образования администрации города совместно с муниципальными организациями в сфере образования.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821"/>
        <w:ind w:left="0" w:firstLine="709"/>
        <w:jc w:val="both"/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.3. Основные мероприятия задачи 3 "Содействие социокультурной интеграции и адаптации мигрантов" муниципальной программы реализуются 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департаментом общественных коммуникаций и молодежной политики администрации города, 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департаментом по социальной политике администрации города, в том числе совместно с муниципальными учреждениями в сфере культ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уры, департаментом образования администрации города совместно с муниципальными организациями в сфере образования.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821"/>
        <w:ind w:left="0" w:firstLine="709"/>
        <w:jc w:val="both"/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.4. Основные мероприятия задачи 4 "Развитие системы мер профилактики и предупреждения межэтнических, межконфессиональных конфликтов, сведение к минимуму условий для проявлений экстремизма на территории города Нижневартовска" муниципальной программы реализу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ю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тся 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департаментом 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о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бщественных коммуникаций и молодежной политики администрации города, в том числе совместно с муниципальным автономным учреждением города Нижневартовска "Молодежный центр",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 департаментом по социальной политике администрации города, в том числе совместно с муниципальными учреждениями в сфере культуры, департаментом образования администрации города совместно с муниципальными организациями в сфере образования, 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 управлением по вопросам законности, правопорядка и безопасности администрации города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, МКУ "УМТО".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2.5. </w:t>
      </w:r>
      <w:r>
        <w:rPr>
          <w:rFonts w:ascii="Times New Roman" w:hAnsi="Times New Roman"/>
          <w:sz w:val="28"/>
          <w:szCs w:val="28"/>
        </w:rPr>
        <w:t xml:space="preserve">Департамент общественных коммуникаций </w:t>
      </w:r>
      <w:r>
        <w:rPr>
          <w:rFonts w:ascii="Times New Roman" w:hAnsi="Times New Roman"/>
          <w:sz w:val="28"/>
          <w:szCs w:val="28"/>
        </w:rPr>
        <w:t xml:space="preserve">и молодежной политики </w:t>
      </w:r>
      <w:r>
        <w:rPr>
          <w:rFonts w:ascii="Times New Roman" w:hAnsi="Times New Roman"/>
          <w:sz w:val="28"/>
          <w:szCs w:val="28"/>
        </w:rPr>
        <w:t xml:space="preserve">администрации города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highlight w:val="none"/>
        </w:rPr>
        <w:t xml:space="preserve">в том числе совместно с </w:t>
      </w:r>
      <w:r>
        <w:rPr>
          <w:rFonts w:ascii="Times New Roman" w:hAnsi="Times New Roman"/>
          <w:sz w:val="28"/>
          <w:szCs w:val="28"/>
        </w:rPr>
        <w:t xml:space="preserve">муниципальным автономным учреждением города Нижневартовска "Молодежный центр"</w:t>
      </w:r>
      <w:r>
        <w:rPr>
          <w:rFonts w:ascii="Times New Roman" w:hAnsi="Times New Roman"/>
          <w:sz w:val="28"/>
          <w:szCs w:val="28"/>
          <w:highlight w:val="none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средствами массовой информации</w:t>
      </w:r>
      <w:r>
        <w:rPr>
          <w:rFonts w:ascii="Times New Roman" w:hAnsi="Times New Roman"/>
          <w:color w:val="000000"/>
          <w:sz w:val="28"/>
          <w:szCs w:val="28"/>
        </w:rPr>
        <w:t xml:space="preserve">, организует работу: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 проведению обучающих семинаров, конференций, "круглых столов", тренингов для специалистов администрации города и муниципальных учреждений по обучению принципам, методам, формам работы в сфере профилактики </w:t>
      </w:r>
      <w:r>
        <w:rPr>
          <w:rFonts w:ascii="Times New Roman" w:hAnsi="Times New Roman"/>
          <w:color w:val="000000"/>
          <w:sz w:val="28"/>
          <w:szCs w:val="28"/>
        </w:rPr>
        <w:t xml:space="preserve">экстремизма;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 проведению конкурсов среди населения, направленных                          на укрепление межнационального и межконфессионального согласия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профилактику экстремизма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 профилактике национального и религиозного экстремизма в форме лекций, семинаров, бесед, конференций, "круглых столов" для населения города;</w:t>
      </w:r>
      <w:r/>
    </w:p>
    <w:p>
      <w:pPr>
        <w:pStyle w:val="822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 изготовлению и размещению социальной рекламы на рекламных конструкциях и рекламно-информационных щитах в лифтах жилых домов, </w:t>
      </w:r>
      <w:r>
        <w:rPr>
          <w:rFonts w:ascii="Times New Roman" w:hAnsi="Times New Roman"/>
          <w:color w:val="000000"/>
          <w:sz w:val="28"/>
          <w:szCs w:val="28"/>
        </w:rPr>
        <w:t xml:space="preserve">изготовлению информационно-справочных материалов (памяток, буклетов, листовок, плакатов, брошюр, книг, наклеек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др.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);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по освещению вопросов гармонизации межэтнических и межконфессиональных отношений,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информационному сопровождению профилактики </w:t>
      </w:r>
      <w:r>
        <w:rPr>
          <w:rFonts w:ascii="Times New Roman" w:hAnsi="Times New Roman"/>
          <w:sz w:val="28"/>
          <w:szCs w:val="28"/>
        </w:rPr>
        <w:t xml:space="preserve">экстремизма, правового информирования граждан, проводимого структурными подразделениями администрации города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профилактике </w:t>
      </w:r>
      <w:r>
        <w:rPr>
          <w:rFonts w:ascii="Times New Roman" w:hAnsi="Times New Roman"/>
          <w:sz w:val="28"/>
          <w:szCs w:val="28"/>
        </w:rPr>
        <w:t xml:space="preserve">экстремизма в форме лекций, семинаров, бесед, конференций, "круглых столов", конкурсов, встреч, собраний, викторин, фестивалей, праздников, акций, дискуссий, </w:t>
      </w:r>
      <w:r>
        <w:rPr>
          <w:rFonts w:ascii="Times New Roman" w:hAnsi="Times New Roman"/>
          <w:sz w:val="28"/>
          <w:szCs w:val="28"/>
        </w:rPr>
        <w:t xml:space="preserve">медиауроков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видеолекториев</w:t>
      </w:r>
      <w:r>
        <w:rPr>
          <w:rFonts w:ascii="Times New Roman" w:hAnsi="Times New Roman"/>
          <w:sz w:val="28"/>
          <w:szCs w:val="28"/>
        </w:rPr>
        <w:t xml:space="preserve">, мероприятий, посвященных памятным и праздничным датам</w:t>
      </w:r>
      <w:r>
        <w:rPr>
          <w:rFonts w:ascii="Times New Roman" w:hAnsi="Times New Roman"/>
          <w:sz w:val="28"/>
          <w:szCs w:val="28"/>
        </w:rPr>
        <w:t xml:space="preserve">, и других мероприятий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Расходование средств осуществляется на следующие цели: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- поощрение участников мероприятий (призы, в том числе подарочные сертификаты, медали, грамоты, дипломы, цветы);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- приобретение канцелярских товаров, инвентаря, хозяйственных товаров, сувенирной продукции;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- привлечение специалистов для организации и проведения мероприятий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- организация питания участников мероприятий (чаепитие, кофе-пауза, обеспечение питьевого режима);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художес</w:t>
      </w:r>
      <w:r>
        <w:rPr>
          <w:rFonts w:ascii="Times New Roman" w:hAnsi="Times New Roman"/>
          <w:sz w:val="28"/>
          <w:szCs w:val="28"/>
        </w:rPr>
        <w:t xml:space="preserve">твенное оформление мероприятий.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strike/>
          <w:highlight w:val="white"/>
        </w:rPr>
      </w:pP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Расходование средств на проведение мероприятий осуществляется </w:t>
      </w:r>
      <w:r>
        <w:rPr>
          <w:rFonts w:ascii="Times New Roman" w:hAnsi="Times New Roman"/>
          <w:sz w:val="28"/>
          <w:szCs w:val="28"/>
          <w:highlight w:val="white"/>
        </w:rPr>
        <w:t xml:space="preserve">в соответствии с Федеральным законом №44-ФЗ </w:t>
      </w:r>
      <w:r>
        <w:rPr>
          <w:rFonts w:ascii="Times New Roman" w:hAnsi="Times New Roman"/>
          <w:sz w:val="28"/>
          <w:szCs w:val="28"/>
          <w:highlight w:val="white"/>
        </w:rPr>
        <w:t xml:space="preserve">"</w:t>
      </w:r>
      <w:r>
        <w:rPr>
          <w:rFonts w:ascii="Times New Roman" w:hAnsi="Times New Roman"/>
          <w:sz w:val="28"/>
          <w:szCs w:val="28"/>
          <w:highlight w:val="white"/>
        </w:rPr>
        <w:t xml:space="preserve"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  <w:highlight w:val="white"/>
        </w:rPr>
        <w:t xml:space="preserve">"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(далее - Федеральный закон </w:t>
      </w:r>
      <w:r>
        <w:rPr>
          <w:rFonts w:ascii="Times New Roman" w:hAnsi="Times New Roman"/>
          <w:sz w:val="28"/>
          <w:szCs w:val="28"/>
          <w:highlight w:val="white"/>
        </w:rPr>
        <w:t xml:space="preserve">№</w:t>
      </w:r>
      <w:r>
        <w:rPr>
          <w:rFonts w:ascii="Times New Roman" w:hAnsi="Times New Roman"/>
          <w:sz w:val="28"/>
          <w:szCs w:val="28"/>
          <w:highlight w:val="white"/>
        </w:rPr>
        <w:t xml:space="preserve">44-ФЗ)</w:t>
      </w:r>
      <w:r>
        <w:rPr>
          <w:rFonts w:ascii="Times New Roman" w:hAnsi="Times New Roman"/>
          <w:sz w:val="28"/>
          <w:szCs w:val="28"/>
          <w:highlight w:val="white"/>
        </w:rPr>
        <w:t xml:space="preserve">, Федеральным законом </w:t>
      </w:r>
      <w:r>
        <w:rPr>
          <w:rFonts w:ascii="Times New Roman" w:hAnsi="Times New Roman"/>
          <w:sz w:val="28"/>
          <w:szCs w:val="28"/>
          <w:highlight w:val="white"/>
        </w:rPr>
        <w:t xml:space="preserve">от 18.07.2011 №223-ФЗ "О закупках товаров, работ, услуг отдельными видами юридических лиц" (далее - Федеральный закон </w:t>
      </w:r>
      <w:r>
        <w:rPr>
          <w:rFonts w:ascii="Times New Roman" w:hAnsi="Times New Roman"/>
          <w:sz w:val="28"/>
          <w:szCs w:val="28"/>
          <w:highlight w:val="white"/>
        </w:rPr>
        <w:t xml:space="preserve">                     №</w:t>
      </w:r>
      <w:r>
        <w:rPr>
          <w:rFonts w:ascii="Times New Roman" w:hAnsi="Times New Roman"/>
          <w:sz w:val="28"/>
          <w:szCs w:val="28"/>
          <w:highlight w:val="white"/>
        </w:rPr>
        <w:t xml:space="preserve">223-ФЗ)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2.6.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Управление по вопросам законности, правопорядка и безопасности администрации города организует работу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по подготовке и проведению конкурса "Лучший киберволонтер".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highlight w:val="none"/>
        </w:rPr>
        <w:t xml:space="preserve">2.7. Департаментом образования администрации города совместно с муниципальными организациями в сфере образования организуется работа в молодежной среде, направленная на гармонизацию межэтнических и межкультурных отношений, профилактику проявления </w:t>
      </w:r>
      <w:r>
        <w:rPr>
          <w:rFonts w:ascii="Times New Roman" w:hAnsi="Times New Roman"/>
          <w:sz w:val="28"/>
          <w:szCs w:val="28"/>
          <w:highlight w:val="none"/>
        </w:rPr>
        <w:t xml:space="preserve">экстремистской деятельности, путем проведения фестивалей, конкурсов, акций, соревнований, мероприятий, посвященных памятным и праздничным датам.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highlight w:val="none"/>
        </w:rPr>
        <w:t xml:space="preserve">Расходование средств осуществляется на следующие цели: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highlight w:val="none"/>
        </w:rPr>
        <w:t xml:space="preserve">- поощрение участников мероприятий (призы, в том числе подарочные сертификаты, медали, грамоты, дипломы, цветы);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highlight w:val="none"/>
        </w:rPr>
        <w:t xml:space="preserve">- приобретение канцелярских товаров, инвентаря;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highlight w:val="none"/>
        </w:rPr>
        <w:t xml:space="preserve">- привлечение специалистов для организации и проведения мероприятий;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highlight w:val="none"/>
        </w:rPr>
        <w:t xml:space="preserve">- организация питания участников мероприятий (чаепитие, кофе-пауза, обеспечение питьевого режима);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highlight w:val="none"/>
        </w:rPr>
        <w:t xml:space="preserve">- художественное оформление мероприятий;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- изготовление плакатов по противодействию экстремизму.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Расходование средств на проведение мероприятий осуществляется </w:t>
      </w:r>
      <w:r>
        <w:rPr>
          <w:rFonts w:ascii="Times New Roman" w:hAnsi="Times New Roman"/>
          <w:sz w:val="28"/>
          <w:szCs w:val="28"/>
          <w:highlight w:val="white"/>
        </w:rPr>
        <w:t xml:space="preserve">в соответствии с Федеральными законами №44-ФЗ</w:t>
      </w:r>
      <w:r>
        <w:rPr>
          <w:rFonts w:ascii="Times New Roman" w:hAnsi="Times New Roman"/>
          <w:sz w:val="28"/>
          <w:szCs w:val="28"/>
          <w:highlight w:val="white"/>
        </w:rPr>
        <w:t xml:space="preserve">, </w:t>
      </w:r>
      <w:r>
        <w:rPr>
          <w:rFonts w:ascii="Times New Roman" w:hAnsi="Times New Roman"/>
          <w:sz w:val="28"/>
          <w:szCs w:val="28"/>
          <w:highlight w:val="white"/>
        </w:rPr>
        <w:t xml:space="preserve">№223-ФЗ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.</w:t>
      </w:r>
      <w:r>
        <w:rPr>
          <w:rFonts w:ascii="Times New Roman" w:hAnsi="Times New Roman" w:eastAsia="Times New Roman"/>
          <w:strike/>
          <w:highlight w:val="white"/>
        </w:rPr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highlight w:val="none"/>
        </w:rPr>
        <w:t xml:space="preserve">2.8. Департаментом по социальной политике администрации города, в том числе совместно с муниципальными учреждениями в сфере культуры, физической культуры и спорта: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highlight w:val="none"/>
        </w:rPr>
        <w:t xml:space="preserve">- проводится работа по профилактике экстремизма в форме лекций, семинаров, бесед, конференций, "круглых столов", конкурсов, встреч, собраний, викторин, фестивалей, праздников, акций, литературно-музыкальных гостиных, дискуссий, медиауроков, вид</w:t>
      </w:r>
      <w:r>
        <w:rPr>
          <w:rFonts w:ascii="Times New Roman" w:hAnsi="Times New Roman"/>
          <w:sz w:val="28"/>
          <w:szCs w:val="28"/>
          <w:highlight w:val="none"/>
        </w:rPr>
        <w:t xml:space="preserve">еолекториев, выставок, спортивных соревнований, мероприятий, посвященных памятным и праздничным датам, мероприятий по языковой и культурной адаптации мигрантов и детей-мигрантов и др.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highlight w:val="none"/>
        </w:rPr>
        <w:t xml:space="preserve">Расходование средств осуществляется на следующие цели: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highlight w:val="none"/>
        </w:rPr>
        <w:t xml:space="preserve">- поощрение участников мероприятий (призы, в том числе подарочные сертификаты, медали, грамоты, дипломы, цветы);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highlight w:val="none"/>
        </w:rPr>
        <w:t xml:space="preserve">- приобретение канцелярских товаров, инвентаря, хозяйственных товаров, сувенирной продукции;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- привлечение специалистов для организации и проведения мероприятий</w:t>
      </w:r>
      <w:r>
        <w:rPr>
          <w:rFonts w:ascii="Times New Roman" w:hAnsi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highlight w:val="none"/>
        </w:rPr>
        <w:t xml:space="preserve">- организация питания участников мероприятий (чаепитие, кофе-пауза, обеспечение питьевого режима);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highlight w:val="none"/>
        </w:rPr>
        <w:t xml:space="preserve">- приобретение сценических костюмов и атрибутов;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художественное оформление мероприятий.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Расходование средств на проведение мероприятий осуществляется </w:t>
      </w:r>
      <w:r>
        <w:rPr>
          <w:rFonts w:ascii="Times New Roman" w:hAnsi="Times New Roman"/>
          <w:sz w:val="28"/>
          <w:szCs w:val="28"/>
          <w:highlight w:val="white"/>
        </w:rPr>
        <w:t xml:space="preserve">в соответствии с Федеральными законами №44-ФЗ</w:t>
      </w:r>
      <w:r>
        <w:rPr>
          <w:rFonts w:ascii="Times New Roman" w:hAnsi="Times New Roman"/>
          <w:sz w:val="28"/>
          <w:szCs w:val="28"/>
          <w:highlight w:val="white"/>
        </w:rPr>
        <w:t xml:space="preserve">, </w:t>
      </w:r>
      <w:r>
        <w:rPr>
          <w:rFonts w:ascii="Times New Roman" w:hAnsi="Times New Roman"/>
          <w:sz w:val="28"/>
          <w:szCs w:val="28"/>
          <w:highlight w:val="white"/>
        </w:rPr>
        <w:t xml:space="preserve">№223-ФЗ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.</w:t>
      </w:r>
      <w:r>
        <w:rPr>
          <w:rFonts w:ascii="Times New Roman" w:hAnsi="Times New Roman" w:eastAsia="Times New Roman"/>
          <w:strike/>
          <w:highlight w:val="white"/>
        </w:rPr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highlight w:val="yellow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2.9. МКУ "УМТО" организует работу по информационно-пропагандистскому сопровождению профилактики экстремизма.</w:t>
      </w:r>
      <w:r>
        <w:rPr>
          <w:rFonts w:ascii="Times New Roman" w:hAnsi="Times New Roman"/>
          <w:sz w:val="28"/>
          <w:szCs w:val="28"/>
          <w:highlight w:val="white"/>
        </w:rPr>
        <w:t xml:space="preserve">                               </w:t>
      </w:r>
      <w:r>
        <w:rPr>
          <w:highlight w:val="yellow"/>
        </w:rPr>
      </w:r>
      <w:r/>
    </w:p>
    <w:p>
      <w:pPr>
        <w:ind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Р</w:t>
      </w:r>
      <w:r>
        <w:rPr>
          <w:rFonts w:ascii="Times New Roman" w:hAnsi="Times New Roman"/>
          <w:sz w:val="28"/>
          <w:szCs w:val="28"/>
          <w:highlight w:val="white"/>
        </w:rPr>
        <w:t xml:space="preserve">асходование средств осуществляется на изготовление и размещение социальной рекламы, памяток, буклетов, листовок, плакатов, брошюр, баннеров, поощрение участников проводимых мероприятий (приобретение </w:t>
      </w:r>
      <w:r>
        <w:rPr>
          <w:rFonts w:ascii="Times New Roman" w:hAnsi="Times New Roman"/>
          <w:sz w:val="28"/>
          <w:szCs w:val="28"/>
          <w:highlight w:val="white"/>
        </w:rPr>
        <w:t xml:space="preserve">подарочных сертификатов, медалей, грамот, дипломов, цвето</w:t>
      </w:r>
      <w:r>
        <w:rPr>
          <w:rFonts w:ascii="Times New Roman" w:hAnsi="Times New Roman"/>
          <w:sz w:val="28"/>
          <w:szCs w:val="28"/>
          <w:highlight w:val="white"/>
        </w:rPr>
        <w:t xml:space="preserve">в).</w:t>
      </w:r>
      <w:r>
        <w:rPr>
          <w:highlight w:val="white"/>
        </w:rPr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Расходование средств на проведение мероприятия осуществляется </w:t>
      </w:r>
      <w:r>
        <w:rPr>
          <w:rFonts w:ascii="Times New Roman" w:hAnsi="Times New Roman"/>
          <w:sz w:val="28"/>
          <w:szCs w:val="28"/>
          <w:highlight w:val="white"/>
        </w:rPr>
        <w:t xml:space="preserve">в соответствии с Федеральным законом №44-ФЗ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.</w:t>
      </w:r>
      <w:r>
        <w:rPr>
          <w:rFonts w:ascii="Times New Roman" w:hAnsi="Times New Roman" w:eastAsia="Times New Roman"/>
          <w:strike/>
          <w:highlight w:val="white"/>
        </w:rPr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contextualSpacing w:val="0"/>
        <w:ind w:firstLine="0"/>
        <w:jc w:val="center"/>
        <w:spacing w:after="0" w:line="240" w:lineRule="auto"/>
        <w:suppressLineNumbers w:val="0"/>
      </w:pPr>
      <w:r>
        <w:rPr>
          <w:rFonts w:ascii="Times New Roman" w:hAnsi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  <w:highlight w:val="none"/>
        </w:rPr>
        <w:t xml:space="preserve">I</w:t>
      </w:r>
      <w:r>
        <w:rPr>
          <w:rFonts w:ascii="Times New Roman" w:hAnsi="Times New Roman"/>
          <w:b/>
          <w:bCs/>
          <w:sz w:val="28"/>
          <w:szCs w:val="28"/>
          <w:highlight w:val="none"/>
        </w:rPr>
        <w:t xml:space="preserve">I. Условия финансирования мероприятий в сфере укрепления</w:t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  <w:r/>
    </w:p>
    <w:p>
      <w:pPr>
        <w:contextualSpacing w:val="0"/>
        <w:ind w:firstLine="0"/>
        <w:jc w:val="center"/>
        <w:spacing w:after="0" w:line="240" w:lineRule="auto"/>
        <w:suppressLineNumbers w:val="0"/>
      </w:pPr>
      <w:r>
        <w:rPr>
          <w:rFonts w:ascii="Times New Roman" w:hAnsi="Times New Roman"/>
          <w:b/>
          <w:bCs/>
          <w:sz w:val="28"/>
          <w:szCs w:val="28"/>
          <w:highlight w:val="none"/>
        </w:rPr>
        <w:t xml:space="preserve">межнационального и межконфессионального согласия,</w:t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  <w:r/>
    </w:p>
    <w:p>
      <w:pPr>
        <w:contextualSpacing w:val="0"/>
        <w:ind w:firstLine="0"/>
        <w:jc w:val="center"/>
        <w:spacing w:after="0" w:line="240" w:lineRule="auto"/>
        <w:rPr>
          <w:rFonts w:ascii="Times New Roman" w:hAnsi="Times New Roman"/>
          <w:b/>
          <w:bCs/>
          <w:highlight w:val="none"/>
        </w:rPr>
        <w:suppressLineNumbers w:val="0"/>
      </w:pPr>
      <w:r>
        <w:rPr>
          <w:rFonts w:ascii="Times New Roman" w:hAnsi="Times New Roman"/>
          <w:b/>
          <w:bCs/>
          <w:sz w:val="28"/>
          <w:szCs w:val="28"/>
          <w:highlight w:val="none"/>
        </w:rPr>
        <w:t xml:space="preserve">профилактики экстремизма в городе Нижневартовске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highlight w:val="none"/>
        </w:rPr>
        <w:t xml:space="preserve">3.1. Объем средств бюджета города Нижневартовска, направленных на реализацию мероприятий в сфере укрепления межнационального и межконфессионального согласия, профилактики экстремизма в городе Нижневартовске, определяется на соответствующий очер</w:t>
      </w:r>
      <w:r>
        <w:rPr>
          <w:rFonts w:ascii="Times New Roman" w:hAnsi="Times New Roman"/>
          <w:sz w:val="28"/>
          <w:szCs w:val="28"/>
          <w:highlight w:val="none"/>
        </w:rPr>
        <w:t xml:space="preserve">едной финансовый год (на соответствующий очередной финансовый год и на плановый период) в рамках муниципальной программы исходя из возможностей бюджета города Нижневартовска.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highlight w:val="none"/>
        </w:rPr>
        <w:t xml:space="preserve">3.2. Соисполнители муниципальной программы (</w:t>
      </w:r>
      <w:r>
        <w:rPr>
          <w:rFonts w:ascii="Times New Roman" w:hAnsi="Times New Roman"/>
          <w:sz w:val="28"/>
          <w:szCs w:val="28"/>
          <w:highlight w:val="none"/>
        </w:rPr>
        <w:t xml:space="preserve">управление по вопросам законности, правопор</w:t>
      </w:r>
      <w:r>
        <w:rPr>
          <w:rFonts w:ascii="Times New Roman" w:hAnsi="Times New Roman"/>
          <w:sz w:val="28"/>
          <w:szCs w:val="28"/>
          <w:highlight w:val="none"/>
        </w:rPr>
        <w:t xml:space="preserve">ядка и безопасности администрации города, </w:t>
      </w:r>
      <w:r>
        <w:rPr>
          <w:rFonts w:ascii="Times New Roman" w:hAnsi="Times New Roman"/>
          <w:sz w:val="28"/>
          <w:szCs w:val="28"/>
          <w:highlight w:val="none"/>
        </w:rPr>
        <w:t xml:space="preserve">департамент по социальной политике администрации города, департамент образования администрации города,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МКУ "УМТО") ежеквартально, в срок до 10 числа месяца, следующего за отчетным, представляют 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епартамент общественных коммуникаций и молодежной политики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 администрации города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финансовый отчет об использовании средств бюджета города Нижневартовска и информационно-аналитическую справку о реализации мероприятий.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3.3. В случае нецелевого использования денежных средств соисполнители муниципальной программы несут ответственность в соответствии с действующим законодательством.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r/>
      <w:r/>
    </w:p>
    <w:sectPr>
      <w:footnotePr/>
      <w:endnotePr/>
      <w:type w:val="nextPage"/>
      <w:pgSz w:w="11900" w:h="16840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9" w:hanging="5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4"/>
        <w:szCs w:val="24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7"/>
    <w:next w:val="817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1">
    <w:name w:val="Heading 1 Char"/>
    <w:basedOn w:val="818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7"/>
    <w:next w:val="817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3">
    <w:name w:val="Heading 2 Char"/>
    <w:basedOn w:val="818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7"/>
    <w:next w:val="817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5">
    <w:name w:val="Heading 3 Char"/>
    <w:basedOn w:val="818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7"/>
    <w:next w:val="817"/>
    <w:link w:val="6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7">
    <w:name w:val="Heading 4 Char"/>
    <w:basedOn w:val="818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7"/>
    <w:next w:val="817"/>
    <w:link w:val="6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9">
    <w:name w:val="Heading 5 Char"/>
    <w:basedOn w:val="818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7"/>
    <w:next w:val="817"/>
    <w:link w:val="6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1">
    <w:name w:val="Heading 6 Char"/>
    <w:basedOn w:val="818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7"/>
    <w:next w:val="817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3">
    <w:name w:val="Heading 7 Char"/>
    <w:basedOn w:val="818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7"/>
    <w:next w:val="817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5">
    <w:name w:val="Heading 8 Char"/>
    <w:basedOn w:val="818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7"/>
    <w:next w:val="817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7">
    <w:name w:val="Heading 9 Char"/>
    <w:basedOn w:val="818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No Spacing"/>
    <w:uiPriority w:val="1"/>
    <w:qFormat/>
    <w:pPr>
      <w:spacing w:before="0" w:after="0" w:line="240" w:lineRule="auto"/>
    </w:pPr>
  </w:style>
  <w:style w:type="paragraph" w:styleId="659">
    <w:name w:val="Title"/>
    <w:basedOn w:val="817"/>
    <w:next w:val="817"/>
    <w:link w:val="66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0">
    <w:name w:val="Title Char"/>
    <w:basedOn w:val="818"/>
    <w:link w:val="659"/>
    <w:uiPriority w:val="10"/>
    <w:rPr>
      <w:sz w:val="48"/>
      <w:szCs w:val="48"/>
    </w:rPr>
  </w:style>
  <w:style w:type="paragraph" w:styleId="661">
    <w:name w:val="Subtitle"/>
    <w:basedOn w:val="817"/>
    <w:next w:val="817"/>
    <w:link w:val="662"/>
    <w:uiPriority w:val="11"/>
    <w:qFormat/>
    <w:pPr>
      <w:spacing w:before="200" w:after="200"/>
    </w:pPr>
    <w:rPr>
      <w:sz w:val="24"/>
      <w:szCs w:val="24"/>
    </w:rPr>
  </w:style>
  <w:style w:type="character" w:styleId="662">
    <w:name w:val="Subtitle Char"/>
    <w:basedOn w:val="818"/>
    <w:link w:val="661"/>
    <w:uiPriority w:val="11"/>
    <w:rPr>
      <w:sz w:val="24"/>
      <w:szCs w:val="24"/>
    </w:rPr>
  </w:style>
  <w:style w:type="paragraph" w:styleId="663">
    <w:name w:val="Quote"/>
    <w:basedOn w:val="817"/>
    <w:next w:val="817"/>
    <w:link w:val="664"/>
    <w:uiPriority w:val="29"/>
    <w:qFormat/>
    <w:pPr>
      <w:ind w:left="720" w:right="720"/>
    </w:pPr>
    <w:rPr>
      <w:i/>
    </w:rPr>
  </w:style>
  <w:style w:type="character" w:styleId="664">
    <w:name w:val="Quote Char"/>
    <w:link w:val="663"/>
    <w:uiPriority w:val="29"/>
    <w:rPr>
      <w:i/>
    </w:rPr>
  </w:style>
  <w:style w:type="paragraph" w:styleId="665">
    <w:name w:val="Intense Quote"/>
    <w:basedOn w:val="817"/>
    <w:next w:val="817"/>
    <w:link w:val="66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6">
    <w:name w:val="Intense Quote Char"/>
    <w:link w:val="665"/>
    <w:uiPriority w:val="30"/>
    <w:rPr>
      <w:i/>
    </w:rPr>
  </w:style>
  <w:style w:type="paragraph" w:styleId="667">
    <w:name w:val="Header"/>
    <w:basedOn w:val="817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Header Char"/>
    <w:basedOn w:val="818"/>
    <w:link w:val="667"/>
    <w:uiPriority w:val="99"/>
  </w:style>
  <w:style w:type="paragraph" w:styleId="669">
    <w:name w:val="Footer"/>
    <w:basedOn w:val="817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0">
    <w:name w:val="Footer Char"/>
    <w:basedOn w:val="818"/>
    <w:link w:val="669"/>
    <w:uiPriority w:val="99"/>
  </w:style>
  <w:style w:type="paragraph" w:styleId="671">
    <w:name w:val="Caption"/>
    <w:basedOn w:val="817"/>
    <w:next w:val="8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2">
    <w:name w:val="Caption Char"/>
    <w:basedOn w:val="671"/>
    <w:link w:val="669"/>
    <w:uiPriority w:val="99"/>
  </w:style>
  <w:style w:type="table" w:styleId="673">
    <w:name w:val="Table Grid"/>
    <w:basedOn w:val="8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Table Grid Light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Plain Table 1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0">
    <w:name w:val="Grid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2">
    <w:name w:val="Grid Table 4 - Accent 1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3">
    <w:name w:val="Grid Table 4 - Accent 2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4">
    <w:name w:val="Grid Table 4 - Accent 3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5">
    <w:name w:val="Grid Table 4 - Accent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6">
    <w:name w:val="Grid Table 4 - Accent 5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7">
    <w:name w:val="Grid Table 4 - Accent 6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8">
    <w:name w:val="Grid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5">
    <w:name w:val="Grid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6">
    <w:name w:val="Grid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7">
    <w:name w:val="Grid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8">
    <w:name w:val="Grid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9">
    <w:name w:val="Grid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0">
    <w:name w:val="Grid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7">
    <w:name w:val="List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8">
    <w:name w:val="List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9">
    <w:name w:val="List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0">
    <w:name w:val="List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1">
    <w:name w:val="List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2">
    <w:name w:val="List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3">
    <w:name w:val="List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5">
    <w:name w:val="List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6">
    <w:name w:val="List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7">
    <w:name w:val="List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8">
    <w:name w:val="List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9">
    <w:name w:val="List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0">
    <w:name w:val="List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1">
    <w:name w:val="List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2">
    <w:name w:val="List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3">
    <w:name w:val="List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4">
    <w:name w:val="List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5">
    <w:name w:val="List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6">
    <w:name w:val="List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7">
    <w:name w:val="List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8">
    <w:name w:val="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0">
    <w:name w:val="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4">
    <w:name w:val="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 &amp; 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Bordered &amp; 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7">
    <w:name w:val="Bordered &amp; 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8">
    <w:name w:val="Bordered &amp; 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9">
    <w:name w:val="Bordered &amp; 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0">
    <w:name w:val="Bordered &amp; 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91">
    <w:name w:val="Bordered &amp; 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2">
    <w:name w:val="Bordered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3">
    <w:name w:val="Bordered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4">
    <w:name w:val="Bordered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5">
    <w:name w:val="Bordered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6">
    <w:name w:val="Bordered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7">
    <w:name w:val="Bordered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8">
    <w:name w:val="Bordered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9">
    <w:name w:val="Hyperlink"/>
    <w:uiPriority w:val="99"/>
    <w:unhideWhenUsed/>
    <w:rPr>
      <w:color w:val="0000FF" w:themeColor="hyperlink"/>
      <w:u w:val="single"/>
    </w:rPr>
  </w:style>
  <w:style w:type="paragraph" w:styleId="800">
    <w:name w:val="footnote text"/>
    <w:basedOn w:val="817"/>
    <w:link w:val="801"/>
    <w:uiPriority w:val="99"/>
    <w:semiHidden/>
    <w:unhideWhenUsed/>
    <w:pPr>
      <w:spacing w:after="40" w:line="240" w:lineRule="auto"/>
    </w:pPr>
    <w:rPr>
      <w:sz w:val="18"/>
    </w:rPr>
  </w:style>
  <w:style w:type="character" w:styleId="801">
    <w:name w:val="Footnote Text Char"/>
    <w:link w:val="800"/>
    <w:uiPriority w:val="99"/>
    <w:rPr>
      <w:sz w:val="18"/>
    </w:rPr>
  </w:style>
  <w:style w:type="character" w:styleId="802">
    <w:name w:val="footnote reference"/>
    <w:basedOn w:val="818"/>
    <w:uiPriority w:val="99"/>
    <w:unhideWhenUsed/>
    <w:rPr>
      <w:vertAlign w:val="superscript"/>
    </w:rPr>
  </w:style>
  <w:style w:type="paragraph" w:styleId="803">
    <w:name w:val="endnote text"/>
    <w:basedOn w:val="817"/>
    <w:link w:val="804"/>
    <w:uiPriority w:val="99"/>
    <w:semiHidden/>
    <w:unhideWhenUsed/>
    <w:pPr>
      <w:spacing w:after="0" w:line="240" w:lineRule="auto"/>
    </w:pPr>
    <w:rPr>
      <w:sz w:val="20"/>
    </w:rPr>
  </w:style>
  <w:style w:type="character" w:styleId="804">
    <w:name w:val="Endnote Text Char"/>
    <w:link w:val="803"/>
    <w:uiPriority w:val="99"/>
    <w:rPr>
      <w:sz w:val="20"/>
    </w:rPr>
  </w:style>
  <w:style w:type="character" w:styleId="805">
    <w:name w:val="endnote reference"/>
    <w:basedOn w:val="818"/>
    <w:uiPriority w:val="99"/>
    <w:semiHidden/>
    <w:unhideWhenUsed/>
    <w:rPr>
      <w:vertAlign w:val="superscript"/>
    </w:rPr>
  </w:style>
  <w:style w:type="paragraph" w:styleId="806">
    <w:name w:val="toc 1"/>
    <w:basedOn w:val="817"/>
    <w:next w:val="817"/>
    <w:uiPriority w:val="39"/>
    <w:unhideWhenUsed/>
    <w:pPr>
      <w:ind w:left="0" w:right="0" w:firstLine="0"/>
      <w:spacing w:after="57"/>
    </w:pPr>
  </w:style>
  <w:style w:type="paragraph" w:styleId="807">
    <w:name w:val="toc 2"/>
    <w:basedOn w:val="817"/>
    <w:next w:val="817"/>
    <w:uiPriority w:val="39"/>
    <w:unhideWhenUsed/>
    <w:pPr>
      <w:ind w:left="283" w:right="0" w:firstLine="0"/>
      <w:spacing w:after="57"/>
    </w:pPr>
  </w:style>
  <w:style w:type="paragraph" w:styleId="808">
    <w:name w:val="toc 3"/>
    <w:basedOn w:val="817"/>
    <w:next w:val="817"/>
    <w:uiPriority w:val="39"/>
    <w:unhideWhenUsed/>
    <w:pPr>
      <w:ind w:left="567" w:right="0" w:firstLine="0"/>
      <w:spacing w:after="57"/>
    </w:pPr>
  </w:style>
  <w:style w:type="paragraph" w:styleId="809">
    <w:name w:val="toc 4"/>
    <w:basedOn w:val="817"/>
    <w:next w:val="817"/>
    <w:uiPriority w:val="39"/>
    <w:unhideWhenUsed/>
    <w:pPr>
      <w:ind w:left="850" w:right="0" w:firstLine="0"/>
      <w:spacing w:after="57"/>
    </w:pPr>
  </w:style>
  <w:style w:type="paragraph" w:styleId="810">
    <w:name w:val="toc 5"/>
    <w:basedOn w:val="817"/>
    <w:next w:val="817"/>
    <w:uiPriority w:val="39"/>
    <w:unhideWhenUsed/>
    <w:pPr>
      <w:ind w:left="1134" w:right="0" w:firstLine="0"/>
      <w:spacing w:after="57"/>
    </w:pPr>
  </w:style>
  <w:style w:type="paragraph" w:styleId="811">
    <w:name w:val="toc 6"/>
    <w:basedOn w:val="817"/>
    <w:next w:val="817"/>
    <w:uiPriority w:val="39"/>
    <w:unhideWhenUsed/>
    <w:pPr>
      <w:ind w:left="1417" w:right="0" w:firstLine="0"/>
      <w:spacing w:after="57"/>
    </w:pPr>
  </w:style>
  <w:style w:type="paragraph" w:styleId="812">
    <w:name w:val="toc 7"/>
    <w:basedOn w:val="817"/>
    <w:next w:val="817"/>
    <w:uiPriority w:val="39"/>
    <w:unhideWhenUsed/>
    <w:pPr>
      <w:ind w:left="1701" w:right="0" w:firstLine="0"/>
      <w:spacing w:after="57"/>
    </w:pPr>
  </w:style>
  <w:style w:type="paragraph" w:styleId="813">
    <w:name w:val="toc 8"/>
    <w:basedOn w:val="817"/>
    <w:next w:val="817"/>
    <w:uiPriority w:val="39"/>
    <w:unhideWhenUsed/>
    <w:pPr>
      <w:ind w:left="1984" w:right="0" w:firstLine="0"/>
      <w:spacing w:after="57"/>
    </w:pPr>
  </w:style>
  <w:style w:type="paragraph" w:styleId="814">
    <w:name w:val="toc 9"/>
    <w:basedOn w:val="817"/>
    <w:next w:val="817"/>
    <w:uiPriority w:val="39"/>
    <w:unhideWhenUsed/>
    <w:pPr>
      <w:ind w:left="2268" w:right="0" w:firstLine="0"/>
      <w:spacing w:after="57"/>
    </w:pPr>
  </w:style>
  <w:style w:type="paragraph" w:styleId="815">
    <w:name w:val="TOC Heading"/>
    <w:uiPriority w:val="39"/>
    <w:unhideWhenUsed/>
  </w:style>
  <w:style w:type="paragraph" w:styleId="816">
    <w:name w:val="table of figures"/>
    <w:basedOn w:val="817"/>
    <w:next w:val="817"/>
    <w:uiPriority w:val="99"/>
    <w:unhideWhenUsed/>
    <w:pPr>
      <w:spacing w:after="0" w:afterAutospacing="0"/>
    </w:pPr>
  </w:style>
  <w:style w:type="paragraph" w:styleId="817" w:default="1">
    <w:name w:val="Normal"/>
    <w:qFormat/>
    <w:pPr>
      <w:spacing w:after="160" w:line="259" w:lineRule="auto"/>
    </w:pPr>
    <w:rPr>
      <w:rFonts w:ascii="Calibri" w:hAnsi="Calibri" w:cs="Times New Roman" w:eastAsia="Calibri"/>
      <w:sz w:val="22"/>
      <w:szCs w:val="22"/>
    </w:rPr>
  </w:style>
  <w:style w:type="character" w:styleId="818" w:default="1">
    <w:name w:val="Default Paragraph Font"/>
    <w:uiPriority w:val="1"/>
    <w:semiHidden/>
    <w:unhideWhenUsed/>
  </w:style>
  <w:style w:type="table" w:styleId="8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  <w:style w:type="paragraph" w:styleId="821">
    <w:name w:val="List Paragraph"/>
    <w:basedOn w:val="817"/>
    <w:uiPriority w:val="34"/>
    <w:qFormat/>
    <w:pPr>
      <w:contextualSpacing/>
      <w:ind w:left="720"/>
    </w:pPr>
  </w:style>
  <w:style w:type="paragraph" w:styleId="822">
    <w:name w:val="HTML Preformatted"/>
    <w:basedOn w:val="817"/>
    <w:link w:val="823"/>
    <w:uiPriority w:val="99"/>
    <w:unhideWhenUsed/>
    <w:rPr>
      <w:rFonts w:ascii="Courier New" w:hAnsi="Courier New" w:cs="Courier New"/>
      <w:sz w:val="20"/>
      <w:szCs w:val="20"/>
    </w:rPr>
  </w:style>
  <w:style w:type="character" w:styleId="823" w:customStyle="1">
    <w:name w:val="Стандартный HTML Знак"/>
    <w:basedOn w:val="818"/>
    <w:link w:val="822"/>
    <w:uiPriority w:val="99"/>
    <w:rPr>
      <w:rFonts w:ascii="Courier New" w:hAnsi="Courier New" w:cs="Courier New" w:eastAsia="Calibri"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Брызгунова</dc:creator>
  <cp:keywords/>
  <dc:description/>
  <cp:revision>14</cp:revision>
  <dcterms:created xsi:type="dcterms:W3CDTF">2023-02-03T10:22:00Z</dcterms:created>
  <dcterms:modified xsi:type="dcterms:W3CDTF">2023-05-30T04:44:17Z</dcterms:modified>
</cp:coreProperties>
</file>