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Зарегистрировано в Минюсте России 23 ноября 2020 г. N 61067</w:t>
      </w:r>
      <w:r/>
      <w:r>
        <w:rPr>
          <w:rFonts w:ascii="Times New Roman" w:hAnsi="Times New Roman" w:eastAsia="Times New Roman" w:cs="Times New Roman"/>
          <w:sz w:val="24"/>
        </w:rPr>
      </w:r>
    </w:p>
    <w:p>
      <w:pPr>
        <w:ind w:left="0" w:right="0" w:firstLine="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------------------------------------------------------------------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ФЕДЕРАЛЬНАЯ СЛУЖБА ВОЙСК НАЦИОНАЛЬНОЙ ГВАРДИИ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ПРИКАЗ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от 19 октября 2020 г. N 419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 УТВЕРЖДЕНИИ ТИПОВЫХ ТРЕБОВАНИЙ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 ДОЛЖНОСТНОЙ ИНСТРУКЦИИ ЧАСТНОГО ОХРАННИКА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НА ОБЪЕКТЕ ОХРАНЫ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Приказов Росгвардии от 09.02.2023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28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09.04.2024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95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частью второй статьи 12.1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от 11 марта 1992 г. N 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ие законодательства Российской Федерации, 2016, N 27, ст. 4160) приказываю: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Утвердить прилагаемые типовые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требования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к должностной инструкции частного охранника на объекте охраны.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Начальнику Главного управления государственного контроля и лицензионно-разрешительной работы Федеральной службы войск национальной гвардии Российской Федерации, командующим округами войск национальной гвардии Российской Федерации, начальникам территориа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льных органов Росгвардии организовать изучение и выполнение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требований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настоящего приказа.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Директор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войск национальной гвардии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 -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главнокомандующий войсками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национальной гвардии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генерал армии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В.ЗОЛОТОВ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right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Приложение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к приказу Федеральной службы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войск национальной гвардии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Российской Федерации</w:t>
      </w:r>
      <w:r/>
    </w:p>
    <w:p>
      <w:pPr>
        <w:ind w:left="0" w:right="0" w:firstLine="0"/>
        <w:jc w:val="right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от 19.10.2020 N 419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ТИПОВЫЕ ТРЕБОВАНИЯ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К ДОЛЖНОСТНОЙ ИНСТРУКЦИИ ЧАСТНОГО ОХРАННИКА</w:t>
      </w:r>
      <w:r/>
    </w:p>
    <w:p>
      <w:pPr>
        <w:ind w:left="0" w:right="0" w:firstLine="0"/>
        <w:jc w:val="center"/>
        <w:spacing w:before="0" w:after="0" w:line="74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НА ОБЪЕКТЕ ОХРАНЫ</w:t>
      </w:r>
      <w:r/>
    </w:p>
    <w:p>
      <w:pPr>
        <w:ind w:left="0" w:right="0" w:firstLine="0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9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(в ред. Приказов Росгвардии от 09.02.2023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28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,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от 09.04.2024 </w:t>
            </w:r>
            <w:r>
              <w:rPr>
                <w:rFonts w:ascii="Times New Roman" w:hAnsi="Times New Roman" w:eastAsia="Times New Roman" w:cs="Times New Roman"/>
                <w:color w:val="0000ff"/>
                <w:sz w:val="24"/>
                <w:u w:val="none"/>
              </w:rPr>
              <w:t xml:space="preserve">N 95</w:t>
            </w:r>
            <w:r>
              <w:rPr>
                <w:rFonts w:ascii="Times New Roman" w:hAnsi="Times New Roman" w:eastAsia="Times New Roman" w:cs="Times New Roman"/>
                <w:color w:val="392c69"/>
                <w:sz w:val="24"/>
              </w:rPr>
              <w:t xml:space="preserve">)</w:t>
            </w:r>
            <w:r/>
          </w:p>
        </w:tc>
      </w:tr>
    </w:tbl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1. Должностная инструкция частного охранника на объекте охраны (далее - должностная инструкция) регламентирует действия частного охранника на объекте охраны при обеспечении внутриобъектового и пропускного режимов, его права и обязанности при выполнении им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трудовой функции.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 Должностная инструкция носит обезличенный характер и разрабатывается для каждого объекта охраны с учетом его особенностей.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 Должностная инструкция подлежит согласованию клиентом либо заказчиком или их уполномоченным представителем путем проставления слова "СОГЛАСОВАНО", указания должности лица, его личной подписи, расшифровки подписи (инициалы, фамилия) и даты согласования.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Согласованная должностная инструкция утверждается руководителем либо уполномоченным представителем частной охранной организации путем проставления слова "УТВЕРЖДАЮ", указания должности лица, его личной подписи, расшифровки подписи (инициалы, фамилия) и дат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ы утверждения.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 Должностная инструкция составляется в двух экземплярах.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Один экземпляр должностной инструкции направляется в территориальный орган Росгвардии по месту нахождения соответствующего объекта охраны в сроки, установленные для уведомления частной охранной организацией территориальных органов Росгвардии о начале оказа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ния охранных услуг &lt;1&gt;.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&lt;1&gt;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уведомления частной охранной организацией территориальных органов федерального органа исполнительной власти, уполномоченного в сфере частной охранной деятельности, о начале и об окончании оказания охранных услуг, изменении состава учредителей (участников)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, утвержденные постановлением Правительства Российской Федерации от 23 июня 2011 г. N 498 (Собрание законодательства Российской Федерации, 2011, N 26, ст. 3820; 2018, N 27, ст. 4082).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Второй экземпляр должностной инструкции хранится в частной охранной организации. Заверенная копия должностной инструкции хранится на объекте охраны.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 Внесение изменений в должностную инструкцию осуществляется путем подготовки ее новой редакции. Новая редакция должностной инструкции в течение 5 дней после ее утверждения направляется в территориальный орган Росгвардии по месту нахождения соответствующе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го объекта охраны.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6. Согласованная клиентом либо заказчиком или их уполномоченным представителем должностная инструкция вступает в силу с момента ее утверждения руководителем либо уполномоченным представителем частной охранной организации и действует в период исполнения дог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овора на оказание охранных услуг либо до ее замены новой редакцией должностной инструкции.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7. Согласованная и утвержденная должностная инструкция доводится до сведения частных охранников, обеспечивающих внутриобъектовый и пропускной режимы в пределах объекта охраны, о чем делается соответствующая отметка в листе ознакомления. Лист ознакомления 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ранится совместно с заверенной копией должностной инструкции на объекте охраны.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8. В должностной инструкции указываются наименование документа, наименование объекта охраны, реквизиты согласования и утверждения, номер и дата заключения договора на оказание охранных услуг.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9. Должностная инструкция состоит из разделов: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 Общие положения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 Права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III Обязанности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IV Ответственность.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 В разделе I "Общие положения" указываются: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10.1. Объект охраны (виды оказываемых охранных услуг в соответствии с договором, место нахождения, краткая характеристика, границы).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10.2. Перечень законодательных и иных нормативных правовых актов Российской Федерации, а также локальных нормативных актов, которыми должен руководствоваться частный охранник при исполнении своих трудовых функций.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10.3. Перечень лиц и (или) должностей работников частной охранной организации и заказчика, исполнение законных распоряжений которых в соответствии с представленными им полномочиями обязательно для частного охранника.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10.4. Режим работы частного охранника на объекте охраны.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10.5. Установленные клиентом или заказчиком правила соблюдения персоналом и посетителями объекта охраны внутриобъектового и пропускного режимов.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10.6. Правила ведения и порядок оформления служебной документации на объекте охраны.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10.7. Иные положения, конкретизирующие и уточняющие трудовые функции частного охранника на объекте охраны и условия его деятельности.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11. Раздел II "Права" содержит перечень прав, которыми обладает частный охранник при обеспечении внутриобъектового и пропускного режимов на объекте охраны. Приводится перечень прав, предусмотренных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статьей 12.1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Российской Федерации от 11 марта 1992 г. N 2487-1 "О частной детективной и охранной деятельности в Российской Федерации" (далее - Закон "О частной детективной и охранной деятельности в Российской Федерации").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разделе отражаются действия частного охранника при прибытии на охраняемый объект должностных лиц государственных органов (порядок допуска на объект охраны должностных лиц правоохранительных, контролирующих и надзорных органов, представления необходимой 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нформации и документов), взаимодействие с государственными органами (адреса и номера телефонов, иные способы связи с правоохранительными, контролирующими и надзорными органами, которые частный охранник обязан уведомлять в случаях, предусмотренных законодат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ельством Российской Федерации и (или) локальными нормативными актами), а также порядок взаимодействия с представителями иных организаций, осуществляющих охранные или контрольные функции на охраняемом объекте (в случае их наличия).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При оказании охранной услуги, предусмотренной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пунктом 7 части третьей статьи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"О частной детективной и охранной деятельности в Российской Федерации", дополнительно указываются права по пресечению функционирования беспилотных воздушных, подводных и надводных судов и аппаратов, беспилотных транспортных средств и иных автоматиз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ированных беспилотных комплексов (в случае включения частного охранника в соответствии с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частью восьмой статьи 11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"О частной детективной и охранной деятельности в Российской Федерации" в перечень работников частной охранной организации, которые вправе пресекать функционирование данных беспилотных аппаратов).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(абзац введен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Приказом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Росгвардии от 09.04.2024 N 95)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 В разделе III "Обязанности" указываются: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12.1. Перечень обязанностей, возложенных на частного охранника при обеспечении внутриобъектового и пропускного режимов на объекте охраны, в том числе предусмотренных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статьей 12.1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"О частной детективной и охранной деятельности в Российской Федерации".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12.2. Действия частного охранника по осуществлению контроля за состоянием и исправностью технических средств охраны, систем видеонаблюдения и систем контроля и управления доступом, которыми оборудован объект охраны, если такие действия возложены на частную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охранную организацию в соответствии с договором на оказание охранных услуг.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12.3. Действия частного охранника по задержанию и передаче в органы внутренних дел лиц, совершивших противоправное посягательство на охраняемое имущество либо нарушающих внутриобъектовый и (или) пропускной режимы.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12.4. Действия частного охранника при возникновении чрезвычайных ситуаций.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12.5. Порядок приема и передачи дежурства (в том числе порядок приема и передачи документов, средств охраны, оружия и специальных средств в соответствии с законодательством Российской Федерации, регламентирующим частную охранную деятельность, оборот оружия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и специальных средств).</w:t>
      </w:r>
      <w:r/>
    </w:p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12.6. Действия частного охранника при совершении (угрозе совершения) преступления в форме вооруженного нападения, в том числе террористической направленности, на объект охраны.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(пп. 12.6 введен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Приказом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Росгвардии от 09.02.2023 N 28)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12.7. Порядок действий частного охранника по пресечению функционирования беспилотных воздушных, подводных и надводных судов и аппаратов, беспилотных транспортных средств и иных автоматизированных беспилотных комплексов в соответствии с законодательством 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ссийской Федерации (при оказании охранной услуги, предусмотренной </w:t>
      </w:r>
      <w:r>
        <w:rPr>
          <w:rFonts w:ascii="Times New Roman" w:hAnsi="Times New Roman" w:eastAsia="Times New Roman" w:cs="Times New Roman"/>
          <w:color w:val="0000ff"/>
          <w:sz w:val="24"/>
          <w:u w:val="none"/>
        </w:rPr>
        <w:t xml:space="preserve">пунктом 7 части третьей статьи 3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Закона "О частной детективной и охранной деятельности в Российской Федерации").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93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35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(пп. 12.7 введен </w:t>
            </w:r>
            <w:r>
              <w:rPr>
                <w:rFonts w:ascii="Times New Roman" w:hAnsi="Times New Roman" w:eastAsia="Times New Roman" w:cs="Times New Roman"/>
                <w:color w:val="0000ff"/>
                <w:sz w:val="22"/>
                <w:u w:val="none"/>
              </w:rPr>
              <w:t xml:space="preserve">Приказом</w:t>
            </w:r>
            <w:r>
              <w:rPr>
                <w:rFonts w:ascii="Times New Roman" w:hAnsi="Times New Roman" w:eastAsia="Times New Roman" w:cs="Times New Roman"/>
                <w:color w:val="828282"/>
                <w:sz w:val="22"/>
              </w:rPr>
              <w:t xml:space="preserve"> Росгвардии от 09.04.2024 N 95)</w:t>
            </w:r>
            <w:r/>
          </w:p>
        </w:tc>
      </w:tr>
    </w:tbl>
    <w:p>
      <w:pPr>
        <w:ind w:left="0" w:right="0" w:firstLine="540"/>
        <w:jc w:val="both"/>
        <w:spacing w:before="168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13. В разделе IV "Ответственность" указываются виды ответственности частного охранника за несоблюдение требований, установленных законодательством Российской Федерации.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------------------------------------------------------------------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91" w:hanging="340"/>
        <w:tabs>
          <w:tab w:val="num" w:pos="1211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24" w:hanging="340"/>
        <w:tabs>
          <w:tab w:val="num" w:pos="644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24" w:hanging="340"/>
        <w:tabs>
          <w:tab w:val="num" w:pos="644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24" w:hanging="340"/>
        <w:tabs>
          <w:tab w:val="num" w:pos="644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24" w:hanging="340"/>
        <w:tabs>
          <w:tab w:val="num" w:pos="644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24" w:hanging="340"/>
        <w:tabs>
          <w:tab w:val="num" w:pos="644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82" w:hanging="340"/>
        <w:tabs>
          <w:tab w:val="num" w:pos="502" w:leader="none"/>
        </w:tabs>
      </w:pPr>
      <w:rPr>
        <w:rFonts w:ascii="Symbol" w:hAnsi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482" w:hanging="340"/>
        <w:tabs>
          <w:tab w:val="num" w:pos="502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3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55" w:hanging="360"/>
      </w:pPr>
      <w:rPr>
        <w:rFonts w:hint="default" w:ascii="Symbol" w:hAnsi="Symbol" w:eastAsia="Times New Roman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7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1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3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5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7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95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2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4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6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8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0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2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4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6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8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0"/>
  </w:num>
  <w:num w:numId="12">
    <w:abstractNumId w:val="5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5"/>
    <w:next w:val="66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6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5"/>
    <w:next w:val="66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5"/>
    <w:next w:val="66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5"/>
    <w:next w:val="66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5"/>
    <w:next w:val="66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5"/>
    <w:next w:val="66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5"/>
    <w:next w:val="66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5"/>
    <w:next w:val="66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5"/>
    <w:next w:val="66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5"/>
    <w:next w:val="66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6"/>
    <w:link w:val="34"/>
    <w:uiPriority w:val="10"/>
    <w:rPr>
      <w:sz w:val="48"/>
      <w:szCs w:val="48"/>
    </w:rPr>
  </w:style>
  <w:style w:type="paragraph" w:styleId="36">
    <w:name w:val="Subtitle"/>
    <w:basedOn w:val="665"/>
    <w:next w:val="66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6"/>
    <w:link w:val="36"/>
    <w:uiPriority w:val="11"/>
    <w:rPr>
      <w:sz w:val="24"/>
      <w:szCs w:val="24"/>
    </w:rPr>
  </w:style>
  <w:style w:type="paragraph" w:styleId="38">
    <w:name w:val="Quote"/>
    <w:basedOn w:val="665"/>
    <w:next w:val="66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5"/>
    <w:next w:val="66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6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66"/>
    <w:link w:val="42"/>
    <w:uiPriority w:val="99"/>
  </w:style>
  <w:style w:type="paragraph" w:styleId="44">
    <w:name w:val="Footer"/>
    <w:basedOn w:val="66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6"/>
    <w:link w:val="44"/>
    <w:uiPriority w:val="99"/>
  </w:style>
  <w:style w:type="paragraph" w:styleId="46">
    <w:name w:val="Caption"/>
    <w:basedOn w:val="665"/>
    <w:next w:val="6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70"/>
    <w:uiPriority w:val="99"/>
    <w:rPr>
      <w:sz w:val="18"/>
    </w:rPr>
  </w:style>
  <w:style w:type="paragraph" w:styleId="178">
    <w:name w:val="endnote text"/>
    <w:basedOn w:val="66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6"/>
    <w:uiPriority w:val="99"/>
    <w:semiHidden/>
    <w:unhideWhenUsed/>
    <w:rPr>
      <w:vertAlign w:val="superscript"/>
    </w:rPr>
  </w:style>
  <w:style w:type="paragraph" w:styleId="181">
    <w:name w:val="toc 1"/>
    <w:basedOn w:val="665"/>
    <w:next w:val="66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5"/>
    <w:next w:val="66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5"/>
    <w:next w:val="66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5"/>
    <w:next w:val="66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5"/>
    <w:next w:val="66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5"/>
    <w:next w:val="66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5"/>
    <w:next w:val="66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5"/>
    <w:next w:val="66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5"/>
    <w:next w:val="66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5"/>
    <w:next w:val="665"/>
    <w:uiPriority w:val="99"/>
    <w:unhideWhenUsed/>
    <w:pPr>
      <w:spacing w:after="0" w:afterAutospacing="0"/>
    </w:pPr>
  </w:style>
  <w:style w:type="paragraph" w:styleId="66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ar-SA"/>
    </w:rPr>
  </w:style>
  <w:style w:type="character" w:styleId="666" w:default="1">
    <w:name w:val="Default Paragraph Font"/>
    <w:uiPriority w:val="1"/>
    <w:semiHidden/>
    <w:unhideWhenUsed/>
  </w:style>
  <w:style w:type="table" w:styleId="6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8" w:default="1">
    <w:name w:val="No List"/>
    <w:uiPriority w:val="99"/>
    <w:semiHidden/>
    <w:unhideWhenUsed/>
  </w:style>
  <w:style w:type="paragraph" w:styleId="669">
    <w:name w:val="List Paragraph"/>
    <w:basedOn w:val="665"/>
    <w:uiPriority w:val="34"/>
    <w:qFormat/>
    <w:pPr>
      <w:contextualSpacing/>
      <w:ind w:left="720"/>
    </w:pPr>
  </w:style>
  <w:style w:type="paragraph" w:styleId="670">
    <w:name w:val="footnote text"/>
    <w:basedOn w:val="665"/>
    <w:link w:val="671"/>
    <w:uiPriority w:val="99"/>
    <w:semiHidden/>
    <w:unhideWhenUsed/>
    <w:pPr>
      <w:widowControl w:val="off"/>
    </w:pPr>
    <w:rPr>
      <w:sz w:val="20"/>
      <w:lang w:eastAsia="ru-RU"/>
    </w:rPr>
  </w:style>
  <w:style w:type="character" w:styleId="671" w:customStyle="1">
    <w:name w:val="Текст сноски Знак"/>
    <w:basedOn w:val="666"/>
    <w:link w:val="67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2">
    <w:name w:val="footnote reference"/>
    <w:uiPriority w:val="99"/>
    <w:semiHidden/>
    <w:unhideWhenUsed/>
    <w:rPr>
      <w:vertAlign w:val="superscript"/>
    </w:rPr>
  </w:style>
  <w:style w:type="paragraph" w:styleId="673">
    <w:name w:val="Balloon Text"/>
    <w:basedOn w:val="665"/>
    <w:link w:val="6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6"/>
    <w:link w:val="673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Беседа Алена Владимировна</dc:creator>
  <cp:keywords/>
  <dc:description/>
  <cp:revision>14</cp:revision>
  <dcterms:created xsi:type="dcterms:W3CDTF">2021-11-23T11:57:00Z</dcterms:created>
  <dcterms:modified xsi:type="dcterms:W3CDTF">2024-05-21T08:59:33Z</dcterms:modified>
</cp:coreProperties>
</file>