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B2" w:rsidRPr="005010B2" w:rsidRDefault="005010B2" w:rsidP="005010B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об эффективности деятельности </w:t>
      </w:r>
    </w:p>
    <w:p w:rsidR="005010B2" w:rsidRPr="005010B2" w:rsidRDefault="005010B2" w:rsidP="005010B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организаций, подведомственных департаменту образования администрации города, по итогам 2018 года</w:t>
      </w:r>
    </w:p>
    <w:p w:rsidR="005010B2" w:rsidRPr="005010B2" w:rsidRDefault="005010B2" w:rsidP="005010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Во исполнение постановления администрации города от 07.11.2014 №2243 «Об утверждении показателей эффективности деятельности муниципальных образовательных организаций, подведомственных департаменту образования администрации города» по итогам 2018 года,  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образовательных организаций, подведомственных департаменту образования администрации города (далее – муниципальные образовательные организации), в соответствии: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- с показателями эффективности деятельности муниципальных образовательных организаций, реализующих образовательные программы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дошкольного  образования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с показателями эффективности деятельности муниципальных образовательных организаций, реализующих образовательные программы начального общего, основного общего, среднего общего образования;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с показателями эффективности деятельности муниципальных образовательных организаций, реализующих общеобразовательные программы дополнительного образования.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Сбор статистических данных осуществлялся в рамках проведения сбора результатов деятельности муниципальных образовательных организаций по итогам 2018 года, </w:t>
      </w:r>
      <w:r w:rsidRPr="005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департамента образования администрации города от 25.12.2017 №820 «Об утверждении измерительных материалов результатов деятельности муниципальных образовательных организаций, подведомственных департаменту образования администрации города, и об организации и проведении мониторинга» (с изменениями)</w:t>
      </w:r>
      <w:r w:rsidRPr="005010B2">
        <w:rPr>
          <w:rFonts w:ascii="Times New Roman" w:eastAsia="Calibri" w:hAnsi="Times New Roman" w:cs="Times New Roman"/>
          <w:sz w:val="28"/>
          <w:szCs w:val="28"/>
        </w:rPr>
        <w:t>. Этим же приказом определена шкала оценивания каждого показателя.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Определение эффективности деятельности муниципальных образовательных организаций, подведомственных департаменту образования администрации города, по итогам 2018 года определялось по следующим направлениям.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Для муниципальных образовательных организаций, реализующих образовательные программы дошкольного образования: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Соответствие деятельности муниципальной образовательной организации требованиям законодательства;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Выполнение муниципального задания на оказание муниципальных услуг;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кадрового потенциала;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Реализация мероприятий по привлечению молодых педагогических работников;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доступности качества образования;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Соответствие условий требованиям федеральных государственных образовательных стандартов дошкольного образования;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здоровья детей;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Реализация программ, направленных на работу с одаренными воспитанниками;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Обеспечение комплексной безопасности;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Функционирование системы государственно-общественного управления;</w:t>
      </w:r>
    </w:p>
    <w:p w:rsidR="005010B2" w:rsidRPr="005010B2" w:rsidRDefault="005010B2" w:rsidP="005010B2">
      <w:pPr>
        <w:numPr>
          <w:ilvl w:val="0"/>
          <w:numId w:val="15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Информационная открытость.</w:t>
      </w:r>
    </w:p>
    <w:p w:rsidR="005010B2" w:rsidRPr="005010B2" w:rsidRDefault="005010B2" w:rsidP="005010B2">
      <w:pPr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Для муниципальных образовательных организаций, реализующих образовательные программы начального общего, основного общего, среднего общего образования: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Соответствие деятельности муниципальной образовательной организации требованиям законодательства;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Выполнение муниципального задания на оказание муниципальных услуг;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Обеспечение высокого качества обучения;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Кадровое обеспечение образовательного процесса;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Реализация мероприятий по привлечению молодых педагогических работников;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качества образования;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Соответствие условий требованиям федеральных государственных образовательных стандартов общего образования;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Реализация профильного обучения;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здоровья обучающихся;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Организация эффективной физкультурно-оздоровительной и спортивной работы;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Обеспечение комплексной безопасности;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Функционирование системы государственно-общественного управления;</w:t>
      </w:r>
    </w:p>
    <w:p w:rsidR="005010B2" w:rsidRPr="005010B2" w:rsidRDefault="005010B2" w:rsidP="005010B2">
      <w:pPr>
        <w:numPr>
          <w:ilvl w:val="0"/>
          <w:numId w:val="16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Информационная открытость.</w:t>
      </w:r>
    </w:p>
    <w:p w:rsidR="005010B2" w:rsidRPr="005010B2" w:rsidRDefault="005010B2" w:rsidP="005010B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Для муниципальных образовательных организаций, реализующих общеобразовательные программы дополнительного образования: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Соответствие деятельности муниципальной образовательной организации требованиям законодательства;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Выполнение муниципального задания на оказание муниципальных услуг;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доступности дополнительного образования;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Обеспечение высокого качества образования;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Условия организации образовательного процесса;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Кадровое обеспечение образовательного процесса;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Реализация мероприятий по привлечению молодых педагогических работников;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Обеспечение комплексной безопасности;</w:t>
      </w:r>
    </w:p>
    <w:p w:rsidR="005010B2" w:rsidRPr="005010B2" w:rsidRDefault="005010B2" w:rsidP="005010B2">
      <w:pPr>
        <w:numPr>
          <w:ilvl w:val="0"/>
          <w:numId w:val="17"/>
        </w:numPr>
        <w:spacing w:after="200" w:line="276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Информационная открытость.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баллов, которое могла набрать муниципальная образовательная организация по итогам мониторинга и в соответствии с показателями эффективности деятельности: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-  муниципальная образовательная организация, реализующая образовательную программу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дошкольного  образования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– 135,5;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муниципальная образовательная организация, реализующая образовательные программы начального общего, основного общего, среднего общего образования – 132;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муниципальная образовательная организация, реализующая общеобразовательные программы дополнительного образования - 154,0.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</w:t>
      </w:r>
      <w:proofErr w:type="gramStart"/>
      <w:r w:rsidRPr="005010B2">
        <w:rPr>
          <w:rFonts w:ascii="Times New Roman" w:eastAsia="Calibri" w:hAnsi="Times New Roman" w:cs="Times New Roman"/>
          <w:b/>
          <w:sz w:val="28"/>
          <w:szCs w:val="28"/>
        </w:rPr>
        <w:t>дошкольного  образования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 соответствии с показателями направления «Соответствие деятельности муниципальной образовательной организации требованиям законодательства»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42 (97,7%) дошкольных образовательных организаций из 43 детских садов не имеют предписания надзорных органов или предписания надзорных органов своевременно устранены, соответственно, в одном (2,3%) </w:t>
      </w: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дошкольном учреждении наличие предписания надзорных органов. На 43 (100%) детских сада в течение 2018 года не поступило обоснованных жалоб граждан по вопросам соблюдения прав участников образовательных отношений.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Из оценивания эффективности деятельности дошкольной образовательной организации по направлению «Коэффициент посещаемости дошкольной образовательной организации от показателей, доведенных муниципальным заданием», видно, что средний показатель посещаемости воспитанниками образовательной организации составляет 6,3 баллов к максимальным 7 баллам, в 83% дошкольных образовательных организациях показатель «Коэффициент посещаемости» имеет максимальное значение. В 2017 году средний показатель посещаемости воспитанниками образовательной организации составил 5,9 баллов. Данный показатель косвенно отражает созданные в организации условия: адаптация детей раннего дошкольного возраста, соблюдение санитарно-гигиенических норм, норм организации питания в дошкольной организации, применение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технологий, работа с родителями по условиям организации посещения дошкольной организации и др. По итогам 2018 года в 2 дошкольных организациях (№1, №9) посещаемость воспитанниками дошкольной образовательной организации составила ниже 79%, в 5 дошкольных организациях (№7, 45, 47, 56, 79) - от 80 до 89%; в остальных - от 90% до 100%.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все дошкольные организации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Для определения кадровой обеспеченности образовательного процесса анализировались статистические данные относительно укомплектованности дошкольных организаций на начало 2018-2019 учебного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года  (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>сентябрь 2018 года). Результат следующий: 43 организации обеспечены кадрами полностью, общий результат укомплектованности остался на уровне прошлого года и составил 100% (в 2017 году - 100%).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по привлечению и закреплению молодых педагогов в образовательной организации во всех дошкольных организациях разработана и применяется программа наставничества.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Информационная открытость является обязательным требованием к образовательным организациям. Все (100%) дошкольных организаций имеют официальный сайт организации, на котором в открытом доступе представлена информация о деятельности и результатах деятельности дошкольной </w:t>
      </w: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организации в соответствии с требованиями законодательства.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Одним из направлений информационной открытости образовательных организаций является участие в независимой оценке качества образования. В 2018 году все (100%) дошкольные образовательные организации приняли участие в независимой оценке деятельности образовательной организации на муниципальном уровне (проведение независимой оценки Общественным советом по развитию образования в городе Нижневартовске) и федеральном уровнях (bus.gov.ru).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Характер полученных результатов независимой оценки качества является положительным.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Внешнее представление участия в независимых процедурах оценки качества (публичный отчет, публикации в СМИ и сети Интернет, официальный сайт муниципальной образовательной организации,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сторонней организации, которая проводила независимую оценку) составил 86%. В достаточной степени используются средства массовой информации для информирования населения города об участии и результатах независимой оценки. 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дошкольного образования измеряется показателем «Создание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среды». Этот показатель отражает созданные условия в дошкольной организации для маломобильных групп населения, то есть наличие элементов доступности объекта: визуальные, тактильные, акустические, пандусы.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 15 дошкольных организациях (ДОУ №4, 5, 10, 17, 25, 29, 38, 40, 41, 44, 52, 68, 69, 77, 80) среда, созданная для маломобильных групп населения, имеет все 4 элемента доступности. В 21 организации (ДОУ № 1, 7, 8, 9, 14, 31, 32, 37, 45, 47, 48, 54, 56, 60, 61, 62, 66, 67, 72, 79, 83) три из четырех элементов, позволяющих создать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безбарьерную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среду.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Следующее направление, отражающее эффективность деятельности дошкольных образовательных организаций, - «Соответствие условий требованиям федеральных государственных образовательных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стандартов  дошкольного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образования».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Одно из главных направлений, являющихся ведущим в дошкольных организациях – «Создание условий для сохранения здоровья детей». Эффективным является выполнение натуральных норм питания. В 41 (95%) дошкольной образовательной организации созданы условия для выполнения натуральных норм питания. В 2017 году результат этого показателя составил 100%. В 2018 году произошло снижение показателя в ДС №1, 79.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По сравнению с 2017 годом, на 2% увеличился показатель заболеваемости (количество дней болезни на одного ребенка). Ниже среднего по городу или в 37 (86%) дошкольных организациях (в 2017 году этот показатель составил 89%); на уровне выше среднегородского в 6 дошкольных организациях: №1, 7, 14, 31, 45, 47.  Отсутствие травматизма в 2018 году в 34 дошкольных организациях (ДОУ №№ 1, 4, 8, 9, 10, 14, 15, 17, 21, 25, 27, 29, 32, 38, 40, 41, 44, 47, 48, 49, 52, 54, 56, 60, 61, 62, 67, 68, 69, 71, 78, 79, 80, 83). Наличие травматизма с обучающимися в ДОУ №№ 5, 7, 31, 37, 45, 66, 77, 86, 90.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Сохранению уровня здоровья обучающихся дошкольных организаций способствует организация физкультурно-оздоровительной и спортивной работы. Для осуществления такой деятельности на 100% дошкольные организации укомплектованы спортивным оборудованием. Секции и кружки спортивной направленности функционируют в 43 дошкольных организациях. В сравнении с 2017 годом на 21% выросло значение показателя доли детей, охваченных секциями и кружками спортивной направленности, что составило в 2018 году 86%.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 рамках создания комфортных условий в дошкольной организации обязательным условием является создание безопасных условий. 100% дошкольных организаций имеют паспорта комплексной безопасности и пропускную систему.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Во всех (100%) дошкольных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организации.</w:t>
      </w:r>
      <w:r w:rsidRPr="005010B2">
        <w:rPr>
          <w:rFonts w:ascii="Calibri" w:eastAsia="Calibri" w:hAnsi="Calibri" w:cs="Times New Roman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Опыт деятельности государственно-общественного управления 43 дошкольных образовательных организациях совместно с представителями ГОУ в 2018 году представили на различных мероприятиях, а также на Интернет-ресурсах педагогических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сообществ  регионального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и федерального уровней.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дошкольных образовательных организаций составил 131,6 из 135,5 максимально возможных или 97% (в 2017 году - 93,01%). При сравнении с 2017 годом в целом наблюдается улучшение эффективности деятельности дошкольных образовательных организаций относительно установочных целевых показателей и критериев. Наибольшее количество баллов (135,50 </w:t>
      </w:r>
      <w:bookmarkStart w:id="0" w:name="_GoBack"/>
      <w:bookmarkEnd w:id="0"/>
      <w:r w:rsidRPr="005010B2">
        <w:rPr>
          <w:rFonts w:ascii="Times New Roman" w:eastAsia="Calibri" w:hAnsi="Times New Roman" w:cs="Times New Roman"/>
          <w:sz w:val="28"/>
          <w:szCs w:val="28"/>
        </w:rPr>
        <w:t>из 135,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50  возможных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)  получили: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муниципальное автономное дошкольное образовательное учреждение города Нижневартовска детский сад №25 «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» (заведующий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Вечипольская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Валентина Ивановна);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- муниципальное автономное дошкольное образовательное учреждение города Нижневартовска детский сад №29 «Ёлочка» (заведующий Корнеенко Татьяна Михайловна);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- муниципальное автономное дошкольное образовательное учреждение города Нижневартовска детский сад №41 «Росинка» (заведующий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Ротова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Рамзия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Агзамовна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муниципальное автономное дошкольное образовательное учреждение города Нижневартовска детский сад №44 «Золотой ключик» (заведующий</w:t>
      </w:r>
      <w:r w:rsidRPr="0050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Гладких Ольга Ивановна);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- муниципальное автономное дошкольное образовательное учреждение города Нижневартовска детский сад №52 «Самолетик» (заведующий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Базюк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Владимировна);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- муниципальное автономное дошкольное образовательное учреждение города Нижневартовска детский сад №68 «Ромашка» (заведующий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Градюк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Николаевна);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муниципальное автономное дошкольное образовательное учреждение города Нижневартовска детский сад №80 «Светлячок» (заведующий Краснухина Ольга Владимировна).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По результатам оценки эффективности деятельности за 2018 год дошкольные образовательные организации имеют следующие рейтинговые места: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4706"/>
        <w:gridCol w:w="2873"/>
      </w:tblGrid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  <w:shd w:val="clear" w:color="auto" w:fill="D9D9D9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10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Рейтинговое место</w:t>
            </w:r>
          </w:p>
        </w:tc>
        <w:tc>
          <w:tcPr>
            <w:tcW w:w="2518" w:type="pct"/>
            <w:shd w:val="clear" w:color="auto" w:fill="D9D9D9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Дошкольная образовательная</w:t>
            </w:r>
          </w:p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537" w:type="pct"/>
            <w:shd w:val="clear" w:color="auto" w:fill="D9D9D9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№25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 №29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№41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№44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№52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№68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№80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135,50</w:t>
            </w:r>
          </w:p>
        </w:tc>
      </w:tr>
      <w:tr w:rsidR="005010B2" w:rsidRPr="005010B2" w:rsidTr="001A425F">
        <w:trPr>
          <w:trHeight w:val="269"/>
        </w:trPr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№60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№62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№71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№10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№17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№38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№40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№8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№32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№54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№67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№83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№15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№49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№69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№78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№61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№21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№47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№66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№5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№37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№90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№79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№27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№9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№86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№48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№31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№45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№1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 №56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123,25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МАДОУ ДС №77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18" w:type="pct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МАДОУ ДС №14 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121,75</w:t>
            </w:r>
          </w:p>
        </w:tc>
      </w:tr>
      <w:tr w:rsidR="005010B2" w:rsidRPr="005010B2" w:rsidTr="001A425F">
        <w:tc>
          <w:tcPr>
            <w:tcW w:w="945" w:type="pct"/>
            <w:tcBorders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  <w:vAlign w:val="center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Среднее</w:t>
            </w: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537" w:type="pct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131,6</w:t>
            </w:r>
          </w:p>
        </w:tc>
      </w:tr>
      <w:tr w:rsidR="005010B2" w:rsidRPr="005010B2" w:rsidTr="001A425F">
        <w:tc>
          <w:tcPr>
            <w:tcW w:w="945" w:type="pct"/>
            <w:tcBorders>
              <w:top w:val="single" w:sz="4" w:space="0" w:color="000000"/>
              <w:left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  <w:tcBorders>
              <w:top w:val="single" w:sz="4" w:space="0" w:color="000000"/>
            </w:tcBorders>
            <w:vAlign w:val="center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Максимальное  количество  баллов</w:t>
            </w:r>
          </w:p>
        </w:tc>
        <w:tc>
          <w:tcPr>
            <w:tcW w:w="1537" w:type="pct"/>
            <w:tcBorders>
              <w:top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135,5</w:t>
            </w:r>
          </w:p>
        </w:tc>
      </w:tr>
    </w:tbl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>Учитывая результаты эффективности деятельности муниципальных образовательных организаций, реализующих образовательную программу дошкольного образования, для достижения наибольшей эффективности деятельности в следующем отчетном году, дошкольным образовательным организациям необходимо: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 xml:space="preserve">1. Проводить плановые мероприятия по выявлению уровня удовлетворенности участников образовательных отношений, по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созданию  комфортных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условий и среды в дошкольной организации с привлечением представителей государственно-общественного органа управления образованием, в том числе для недопущения жалоб граждан по вопросам соблюдения прав участников образовательных отношений.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 xml:space="preserve">2. Продолжить организацию деятельности в образовательной организации по реализации доступности дошкольного образования. 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Pr="005010B2">
        <w:rPr>
          <w:rFonts w:ascii="Times New Roman" w:eastAsia="Calibri" w:hAnsi="Times New Roman" w:cs="Times New Roman"/>
          <w:sz w:val="28"/>
          <w:szCs w:val="28"/>
        </w:rPr>
        <w:t>3. Осуществить анализ работы по сохранению здоровья воспитанников, откорректировать деятельность с учетом запроса родителей и воспитанников по расширению спектра кружков и секций спортивной направленности. Проводить информационную кампанию по привлечению детей и родителей к системным занятиям спортом.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>4. Провести анализ эффективности деятельности дошкольной организации по итогам 2018 года. Разработать меры по повышению эффективности деятельности в 2019 году.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эффективности деятельности </w:t>
      </w:r>
      <w:r w:rsidRPr="005010B2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образовательные</w:t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программы начального общего, основного общего, среднего</w:t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«Соответствие деятельности муниципальной образовательной организации требованиям законодательства» 28 (82%) общеобразовательные организации не имеют предписания надзорных органов или предписания надзорных органов своевременно устранены; 34 (100%) не имеют обоснованных жалоб граждан по вопросам соблюдения прав участников образовательных отношений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и  соблюдают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все права участников образовательных отношений.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Для оценивания эффективности деятельности общеобразовательной организации по направлению «Соответствие деятельности образовательной организации требованиям законодательства в сфере образования» анализировались следующие показателя: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«Сохранение контингента обучающихся»;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«Выполнение образовательных программ начального общего, основного общего, среднего общего образования, реализуемых в муниципальной образовательной организации»;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«Отсутствие обучающихся 9-х классов, не получивших аттестат об основном общем образовании (из числа допущенных к сдаче государственной итоговой аттестации)»;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- «Отсутствие обучающихся 11-х классов, не получивших аттестат о среднем общем образовании (из числа допущенных к сдаче государственной итоговой аттестации)».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Относительно «Сохранения контингента обучающихся» - 29 школ города увеличили контингент обучающихся относительно прошлого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года,   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      5 - сохранили показатель на прежнем уровне (МБОУ «СШ №№ 2, 7, 13, 18, 34»). 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 100% общеобразовательных организаций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выполнены  образовательные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программы начального общего, основного общего, среднего </w:t>
      </w: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общего образования, реализуемые в муниципальной общеобразовательной организации.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 31 школе города (из 33, имеющих выпускников 9-х, 11-х классов) отсутствуют обучающиеся 9-х, 11-х классов, которые не получили аттестат об основном и среднем общем образовании (из числа учеников, допущенных к сдаче государственной итоговой аттестации), исключение составили МБОУ «СШ №8», МБОУ «СШ №17».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 целом, учитывая суммарность показателей муниципального задания для общеобразовательных организаций по итогам 2018 года,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выполнение  муниципального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задания составило 100% (при учете 95-100% исполнения показателей).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Приоритетным направлением в муниципальной системе образования оставалось «Обеспечение высокого качества обучения». Это связано с тем, что понятие «качество образования»</w:t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в рамках закона «Об образовании в РФ» определяется по результатам независимой оценки знаний обучающихся, то есть государственной итоговой аттестацией выпускников 9,11-х классов. Соответственно, эффективность качества образования определяется «Соответствием итогов государственной итоговой аттестации выпускников 9-х классов средним показателям итогов по региону в соответствии с реализуемой программой по русскому языку и математике» и «Соответствие итогов государственной итоговой аттестации выпускников 11 (12)-х классов средним показателям итогов по региону в соответствии с реализуемой программой по русскому языку и математике». Кроме того, включен показатель, отражающий «Наличие призеров и победителей муниципального, регионального и заключительного этапов всероссийской олимпиады школьников, как равноценный показатель «качества обучения» по результатам независимой оценки.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Итогом является достижение средних показателей по региону относительно результатов государственной итоговой аттестации выпускников 9-х классов по русскому языку 14 школами города, 10 школами - по математике; достижение по итогам государственной итоговой аттестации выпускников 11 (12)-х классов средних показателей по региону по русскому языку 12 школами города и по математике - 15 школами: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873"/>
      </w:tblGrid>
      <w:tr w:rsidR="005010B2" w:rsidRPr="005010B2" w:rsidTr="001A425F">
        <w:tc>
          <w:tcPr>
            <w:tcW w:w="3463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537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Общеобразовательная школа №</w:t>
            </w:r>
          </w:p>
        </w:tc>
      </w:tr>
      <w:tr w:rsidR="005010B2" w:rsidRPr="005010B2" w:rsidTr="001A425F">
        <w:tc>
          <w:tcPr>
            <w:tcW w:w="3463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 xml:space="preserve">Соответствием итогов государственной итоговой аттестации выпускников 9-х классов средним показателям итогов по региону в соответствии с реализуемой программой по русскому языку </w:t>
            </w:r>
          </w:p>
        </w:tc>
        <w:tc>
          <w:tcPr>
            <w:tcW w:w="1537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6,9,21,23,25,29,31,32,42,43, гимназия №1, гимназия №2, лицей, лицей №2</w:t>
            </w:r>
          </w:p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0B2" w:rsidRPr="005010B2" w:rsidTr="001A425F">
        <w:tc>
          <w:tcPr>
            <w:tcW w:w="3463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Соответствием итогов государственной итоговой аттестации выпускников 9-х классов средним показателям итогов по региону в соответствии с реализуемой программой по математике</w:t>
            </w:r>
          </w:p>
        </w:tc>
        <w:tc>
          <w:tcPr>
            <w:tcW w:w="1537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2,5,9,23,29,31,42, гимназия №2, лицей, лицей №2</w:t>
            </w:r>
          </w:p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0B2" w:rsidRPr="005010B2" w:rsidTr="001A425F">
        <w:tc>
          <w:tcPr>
            <w:tcW w:w="3463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lastRenderedPageBreak/>
              <w:t xml:space="preserve">Соответствие итогов государственной итоговой аттестации выпускников 11 (12)-х классов средним показателям итогов по региону в соответствии с реализуемой программой по русскому языку </w:t>
            </w:r>
          </w:p>
        </w:tc>
        <w:tc>
          <w:tcPr>
            <w:tcW w:w="1537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6,9,14,22,23,31,42,43, гимназия №1, гимназия №2, лицей, лицей №2</w:t>
            </w:r>
          </w:p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0B2" w:rsidRPr="005010B2" w:rsidTr="001A425F">
        <w:tc>
          <w:tcPr>
            <w:tcW w:w="3463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Соответствие итогов государственной итоговой аттестации выпускников 11 (12)-х классов средним показателям итогов по региону в соответствии с реализуемой программой по математике</w:t>
            </w:r>
          </w:p>
        </w:tc>
        <w:tc>
          <w:tcPr>
            <w:tcW w:w="1537" w:type="pct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0B2">
              <w:rPr>
                <w:rFonts w:ascii="Times New Roman" w:eastAsia="Calibri" w:hAnsi="Times New Roman" w:cs="Times New Roman"/>
              </w:rPr>
              <w:t>9,13,14, 22,23,42, лицей, лицей №2, гимназия 2</w:t>
            </w:r>
          </w:p>
        </w:tc>
      </w:tr>
    </w:tbl>
    <w:p w:rsidR="005010B2" w:rsidRPr="005010B2" w:rsidRDefault="005010B2" w:rsidP="005010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33 (97%) общеобразовательные организации показали наличие призеров и победителей по итогам муниципального, регионального и заключительного этапов всероссийской олимпиады школьников, всероссийской конференции «Шаг в будущее». (по сравнению с 2017 годом, показатель сохранен - 97%). Максимальное количество (9 баллов) по этому показателю имеют лицей, лицей №2, гимназия №1, гимназия №2, школы №№2, 6, 7, 12, 13, 14, 15, 23, 29, 31, 32. </w:t>
      </w:r>
    </w:p>
    <w:p w:rsidR="005010B2" w:rsidRPr="005010B2" w:rsidRDefault="005010B2" w:rsidP="005010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Эффективностью работы школ города в этом направлении стала очередная победа на уровне региона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нижневартовских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обучающихся на региональном этапе всероссийской олимпиады школьников в 2017-2018 учебном году: 34 призовых мест (6 победителей и 28 призеров).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определения  кадровой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обеспеченности образовательного процесса анализировались статистические данные относительно укомплектованности общеобразовательных организаций на начало 2018-2019 учебного года (сентябрь 2018 года).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5010B2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следующий: в общеобразовательных организациях на начало учебного года имелась одна вакансия. Общий результат укомплектованности педагогическими кадрами составил 99%.</w:t>
      </w:r>
      <w:r w:rsidRPr="005010B2">
        <w:rPr>
          <w:rFonts w:ascii="Calibri" w:eastAsia="Calibri" w:hAnsi="Calibri" w:cs="Times New Roman"/>
          <w:color w:val="000000"/>
        </w:rPr>
        <w:t xml:space="preserve">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0B2">
        <w:rPr>
          <w:rFonts w:ascii="Times New Roman" w:eastAsia="Calibri" w:hAnsi="Times New Roman" w:cs="Times New Roman"/>
          <w:color w:val="000000"/>
          <w:sz w:val="28"/>
          <w:szCs w:val="28"/>
        </w:rPr>
        <w:t>Всего в 34 школах города занято 3 334 работников, из них педагогические работники составляют 1 954 (в 2017 году - 1 843 человека). Доля педагогических работников подведомственных общеобразовательных организаций, имеющих высшее образование, составляет 91%.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 во всех школах разработана и применяется программа наставничества.</w:t>
      </w:r>
    </w:p>
    <w:p w:rsidR="005010B2" w:rsidRPr="005010B2" w:rsidRDefault="005010B2" w:rsidP="005010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Информационная открытость является обязательным требованием к образовательным организациям. Все (100%) общеобразовательные организаций имеют официальный сайт, на котором в открытом доступе представлена информация о деятельности и результатах деятельности образовательной организации в соответствии с требованиями законодательства.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информационной открытости образовательных организаций является участие в независимой оценке качества образования.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В  2018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году все (100%) общеобразовательные организации приняли участие в </w:t>
      </w: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независимой оценке деятельности образовательной организации на муниципальном уровне (проведение независимой оценки Общественным советом по развитию образования в городе Нижневартовске). Характер полученных результатов независимой оценки качества является положительным.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Все школы города доводят информацию о результатах участия в независимых процедурах оценки качества до общественности. Основным источником представления информации является публичный отчет, официальный сайт организации и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сторонней организации, которая проводила независимую оценку. В достаточной мере используются средства массовой информации для информирования населения города об участии и результатах независимой оценки. 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образования измеряется рядом показателей.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«Создание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среды». Этот показатель отражает созданные условия в общеобразовательной организации для маломобильных групп населения, то есть наличие элементов доступности объекта: визуальные, тактильные, акустические, пандусы.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 34 школах города среда, созданная для маломобильных групп населения, имеет все 4 элемента доступности. Эффективность создания такой среды составляет 100% (в 2017 году - 94%).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«Применение информационных технологий в образовательном процессе и обеспечение широкого использования электронных образовательных ресурсов» обеспечивают педагоги 100% школ города.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Следующее направление, отражающее эффективность деятельности общеобразовательных организаций, - «Соответствие условий требованиям федеральных государственных образовательных стандартов общего образования».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Для реализации ФГОС общего образования немалую роль играет созданная развивающая предметно-пространственная среда и психолого-педагогическое сопровождение образовательной деятельности.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В соответствии с полученными результатами в 100% общеобразовательных организаций создана развивающая предметно-пространственная среда: в 23 школах среда создана в полном объеме, в 11 - в допустимом для реализации стандартов объеме. Во всех школах (100%)   осуществляется психолого-педагогическое сопровождение образовательной деятельности.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деятельности общеобразовательных организаций является «Создание условий для </w:t>
      </w: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сохранения здоровья детей», в том числе за счет организации эффективной физкультурно-оздоровительной и спортивной работы.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деятельности школы города оснащены современным спортивным оборудованием, позволяющим реализовывать программы по формированию здорового образа жизни и удовлетворять потребности участников образовательного процесса. Во всех общеобразовательных организациях ведутся секции и кружки спортивной направленности.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Эффективностью работы по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являются показатели количества детей с </w:t>
      </w:r>
      <w:r w:rsidRPr="005010B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010B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группами здоровья. Продолжена работа по межведомственному взаимодействию с Центром здоровья для детей на базе БУ ХМАО-Югры «</w:t>
      </w:r>
      <w:proofErr w:type="spellStart"/>
      <w:r w:rsidRPr="005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Нижневартовская</w:t>
      </w:r>
      <w:proofErr w:type="spellEnd"/>
      <w:r w:rsidRPr="005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детская поликлиника»</w:t>
      </w:r>
      <w:r w:rsidRPr="00501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sz w:val="28"/>
          <w:szCs w:val="28"/>
        </w:rPr>
        <w:t>В рамках создания комфортных условий в общеобразовательных организациях обязательным условием является создание безопасных условий. 100 % школ города имеют паспорта комплексной безопасности и пропускную систему.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sz w:val="28"/>
          <w:szCs w:val="28"/>
        </w:rPr>
        <w:t>Во всех (100%) общеобразовательных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организации, сформированных на основе совместных соглашений.</w:t>
      </w:r>
      <w:r w:rsidRPr="005010B2">
        <w:rPr>
          <w:rFonts w:ascii="Calibri" w:eastAsia="Calibri" w:hAnsi="Calibri" w:cs="Times New Roman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В 2018 году 30 школ города совместно с членами управляющих советов представили на Интернет-ресурсах педагогических сообществ регионального и федерального уровней опыт деятельности государственно-общественного совета. В 2017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году  показатель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составит то же количество школ.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общеобразовательных организаций составил 116,86 из 132,0 максимально возможных или 88,5% (в 2017 году – 81,56%). По сравнению с 2017 годом наблюдается повышение эффективности деятельности общеобразовательных организаций относительно установочных целевых показателей и критериев.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 132,0 получило муниципальное бюджетное общеобразовательное учреждение «Лицей» (директор Морозенко Ольга Ивановна).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>По результатам оценки эффективности деятельности за 2018 год муниципальные образовательные организации, реализующие образовательные</w:t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программы начального общего, основного общего, среднего</w:t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общего образования имеют следующие рейтинговые места: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3768"/>
        <w:gridCol w:w="2789"/>
      </w:tblGrid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Рейтинговое место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«Лицей»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«Лицей №2»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«СШ №32»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«СШ №13»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«Гимназия №2»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126,40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№14»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№9»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125,70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№29»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№6»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123,40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123,30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№40»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122,20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№7»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№31»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121,50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№42»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№15»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№22»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№43»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№18»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№23»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№19»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№11»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112,40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№3»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«НШ №24»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№25»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№10»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№34»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№5»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№21»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№30»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№8»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«СШ №17»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97,30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116,86</w:t>
            </w:r>
          </w:p>
        </w:tc>
      </w:tr>
      <w:tr w:rsidR="005010B2" w:rsidRPr="005010B2" w:rsidTr="001A425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Максимальное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132,00</w:t>
            </w:r>
          </w:p>
        </w:tc>
      </w:tr>
    </w:tbl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>Учитывая результаты эффективности деятельности общеобразовательных организаций, для достижения наибольшей эффективности деятельности в следующем отчетном году школам необходимо: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>1. Продолжить работу по совершенствованию мероприятий, направленных на повышение качества образования, результатов государственной итоговой аттестации выпускников, результатов участия обучающихся во всероссийской олимпиаде школьников.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0B2">
        <w:rPr>
          <w:rFonts w:ascii="Calibri" w:eastAsia="Calibri" w:hAnsi="Calibri" w:cs="Times New Roman"/>
          <w:bCs/>
          <w:sz w:val="28"/>
          <w:szCs w:val="28"/>
        </w:rPr>
        <w:lastRenderedPageBreak/>
        <w:tab/>
      </w:r>
      <w:r w:rsidRPr="005010B2">
        <w:rPr>
          <w:rFonts w:ascii="Times New Roman" w:eastAsia="Calibri" w:hAnsi="Times New Roman" w:cs="Times New Roman"/>
          <w:bCs/>
          <w:sz w:val="28"/>
          <w:szCs w:val="28"/>
        </w:rPr>
        <w:t>2. Продолжить формирование эффективной системы дополнительного образования детей, развитие научно-образовательной и творческой среды в образовательных организациях (в том числе кружки и секции спортивной направленности).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010B2">
        <w:rPr>
          <w:rFonts w:ascii="Times New Roman" w:eastAsia="Calibri" w:hAnsi="Times New Roman" w:cs="Times New Roman"/>
          <w:sz w:val="28"/>
          <w:szCs w:val="28"/>
        </w:rPr>
        <w:t>. Провести анализ эффективности деятельности общеобразовательной организации по итогам 2018 года. Разработать меры по повышению эффективности деятельности в 2019 году.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организаций, реализующих общеобразовательные </w:t>
      </w:r>
      <w:r w:rsidRPr="005010B2">
        <w:rPr>
          <w:rFonts w:ascii="Times New Roman" w:eastAsia="Calibri" w:hAnsi="Times New Roman" w:cs="Times New Roman"/>
          <w:b/>
          <w:sz w:val="28"/>
          <w:szCs w:val="28"/>
        </w:rPr>
        <w:t>программы дополнительного образования</w:t>
      </w:r>
      <w:r w:rsidRPr="00501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«Соответствие деятельности муниципальной образовательной организации требованиям законодательства» 2 (100%) организации дополнительного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образования  не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> имели предписания надзорных органов или предписания надзорных органов своевременно устранены;  в 2018 году не поступило обоснованных жалоб граждан по вопросам соблюдения прав участников образовательных отношений, предоставления муниципальных услуг.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Оценивание эффективности деятельности организации дополнительного образования по направлению «Выполнение муниципального задания на оказание муниципальных услуг» определялось показателем «выполнение общеобразовательных программ дополнительного образования, реализуемых в муниципальной образовательной организации», который составил 100%.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С целью обеспечения доступности дополнительного образования в учреждениях созданы условия для обучения детей с ограниченными возможностями здоровья, организуется деятельность детских (молодежных) общественных объединений, реализуются программы (проекты), ориентированные на развитие и социализацию несовершеннолетних, состоящих на профилактическом учете в Территориальной комиссии по делам несовершеннолетних и защите их прав при администрации города.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Особое внимание уделяется выявлению и поддержке одаренных (талантливых) обучающихся.</w:t>
      </w:r>
      <w:r w:rsidRPr="005010B2">
        <w:rPr>
          <w:rFonts w:ascii="Calibri" w:eastAsia="Calibri" w:hAnsi="Calibri" w:cs="Times New Roman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Эффективностью такой работы является</w:t>
      </w:r>
      <w:r w:rsidRPr="005010B2">
        <w:rPr>
          <w:rFonts w:ascii="Calibri" w:eastAsia="Calibri" w:hAnsi="Calibri" w:cs="Times New Roman"/>
        </w:rPr>
        <w:t xml:space="preserve"> </w:t>
      </w:r>
      <w:r w:rsidRPr="005010B2">
        <w:rPr>
          <w:rFonts w:ascii="Times New Roman" w:eastAsia="Calibri" w:hAnsi="Times New Roman" w:cs="Times New Roman"/>
          <w:sz w:val="28"/>
          <w:szCs w:val="28"/>
        </w:rPr>
        <w:t>сохранение охвата обучающихся, принявших участие в различных творческих мероприятиях в отчетном году.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Сохранен показатель 2017 года </w:t>
      </w:r>
      <w:r w:rsidRPr="0050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10B2">
        <w:rPr>
          <w:rFonts w:ascii="Times New Roman" w:eastAsia="Calibri" w:hAnsi="Times New Roman" w:cs="Times New Roman"/>
          <w:sz w:val="28"/>
          <w:szCs w:val="28"/>
        </w:rPr>
        <w:t>доля победителей, призеров конкурсов, фестивалей, соревнований муниципального, регионального, всероссийского, международного уровней</w:t>
      </w:r>
      <w:r w:rsidRPr="0050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. Достижения обучающихся подтверждают качественный уровень подготовки детей по разным направлениям </w:t>
      </w: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в городе, тем самым повышая имидж муниципалитета на разных уровнях.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По итогам отчетного периода 100% организаций дополнительного образования показывают эффективное выполнение образовательных программ: все обучающиеся освоили программы дополнительного образования, реализуемые в муниципальной образовательной организации.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Кадровая обеспеченность образовательного процесса на начало 2018-2019 учебного года (сентябрь 2018 года) в организациях дополнительного образования составила 100%. Всего в системе дополнительного образования занято 280 работников, из них педагогические работники составляют 150 человек. Доля педагогических работников подведомственных организаций дополнительного образования детей, имеющих высшее образование, составляет 90%.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по привлечению и закреплению молодых педагогов в образовательной организации, во всех организациях дополнительного образования разработана и применяется программа наставничества. 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>Информационная открытость является обязательным требованием к образовательным организациям. Все (100%) организаций дополнительного образования имеют официальный сайт организации, на котором в открытом доступе представлена информация о деятельности и результатах деятельности организации в соответствии с требованиями законодательства.</w:t>
      </w:r>
    </w:p>
    <w:p w:rsidR="005010B2" w:rsidRPr="005010B2" w:rsidRDefault="005010B2" w:rsidP="005010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информационной открытости образовательных организаций является участие в независимой оценке качества образования.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В  2018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году все (100%) организации дополнительного образования приняли участие в независимой оценке деятельности образовательной организации на муниципальном уровне. 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создания комфортных условий в 100% организаций дополнительного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образования  имеются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паспорт комплексной безопасности и пропускная система.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муниципальных образовательных организаций, реализующих общеобразовательные программы дополнительного образования, составил 144,7 из 154,0 максимально возможных. Наибольшее количество баллов 145,0 получило муниципальное бюджетное учреждение дополнительного образования «Центр детского и юношеского технического творчества «Патриот» (директор Кадров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Фаиль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10B2">
        <w:rPr>
          <w:rFonts w:ascii="Times New Roman" w:eastAsia="Calibri" w:hAnsi="Times New Roman" w:cs="Times New Roman"/>
          <w:sz w:val="28"/>
          <w:szCs w:val="28"/>
        </w:rPr>
        <w:t>Мансурович</w:t>
      </w:r>
      <w:proofErr w:type="spellEnd"/>
      <w:r w:rsidRPr="005010B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результатам оценки эффективности деятельности за 2018 год организации дополнительного образования имеют следующие рейтинговые места: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5963"/>
        <w:gridCol w:w="1662"/>
      </w:tblGrid>
      <w:tr w:rsidR="005010B2" w:rsidRPr="005010B2" w:rsidTr="001A425F">
        <w:tc>
          <w:tcPr>
            <w:tcW w:w="1668" w:type="dxa"/>
            <w:shd w:val="clear" w:color="auto" w:fill="D9D9D9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Рейтинговое место</w:t>
            </w:r>
          </w:p>
        </w:tc>
        <w:tc>
          <w:tcPr>
            <w:tcW w:w="6237" w:type="dxa"/>
            <w:shd w:val="clear" w:color="auto" w:fill="D9D9D9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665" w:type="dxa"/>
            <w:shd w:val="clear" w:color="auto" w:fill="D9D9D9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5010B2" w:rsidRPr="005010B2" w:rsidTr="001A425F">
        <w:tc>
          <w:tcPr>
            <w:tcW w:w="1668" w:type="dxa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1665" w:type="dxa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5010B2" w:rsidRPr="005010B2" w:rsidTr="001A425F">
        <w:tc>
          <w:tcPr>
            <w:tcW w:w="1668" w:type="dxa"/>
            <w:tcBorders>
              <w:bottom w:val="single" w:sz="4" w:space="0" w:color="auto"/>
            </w:tcBorders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010B2" w:rsidRPr="005010B2" w:rsidRDefault="005010B2" w:rsidP="0050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144,50</w:t>
            </w:r>
          </w:p>
        </w:tc>
      </w:tr>
      <w:tr w:rsidR="005010B2" w:rsidRPr="005010B2" w:rsidTr="001A425F">
        <w:tc>
          <w:tcPr>
            <w:tcW w:w="1668" w:type="dxa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Среднее</w:t>
            </w:r>
            <w:r w:rsidRPr="0050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665" w:type="dxa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144,7</w:t>
            </w:r>
          </w:p>
        </w:tc>
      </w:tr>
      <w:tr w:rsidR="005010B2" w:rsidRPr="005010B2" w:rsidTr="001A425F">
        <w:tc>
          <w:tcPr>
            <w:tcW w:w="1668" w:type="dxa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010B2" w:rsidRPr="005010B2" w:rsidRDefault="005010B2" w:rsidP="0050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Максимальное  количество  баллов</w:t>
            </w:r>
          </w:p>
        </w:tc>
        <w:tc>
          <w:tcPr>
            <w:tcW w:w="1665" w:type="dxa"/>
            <w:shd w:val="clear" w:color="auto" w:fill="auto"/>
          </w:tcPr>
          <w:p w:rsidR="005010B2" w:rsidRPr="005010B2" w:rsidRDefault="005010B2" w:rsidP="005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0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154,0</w:t>
            </w:r>
          </w:p>
        </w:tc>
      </w:tr>
    </w:tbl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>Учитывая результаты эффективности деятельности организаций дополнительного образования, для достижения наибольшей эффективности деятельности в следующем отчетном году необходимо: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ab/>
        <w:t xml:space="preserve">1. Продолжить работу по совершенствованию мероприятий, направленных на повышение качества дополнительного образования, </w:t>
      </w:r>
      <w:proofErr w:type="gramStart"/>
      <w:r w:rsidRPr="005010B2">
        <w:rPr>
          <w:rFonts w:ascii="Times New Roman" w:eastAsia="Calibri" w:hAnsi="Times New Roman" w:cs="Times New Roman"/>
          <w:sz w:val="28"/>
          <w:szCs w:val="28"/>
        </w:rPr>
        <w:t>результатов участия</w:t>
      </w:r>
      <w:proofErr w:type="gramEnd"/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обучающихся в конкурсных мероприятиях разных уровней.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0B2">
        <w:rPr>
          <w:rFonts w:ascii="Calibri" w:eastAsia="Calibri" w:hAnsi="Calibri" w:cs="Times New Roman"/>
          <w:bCs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bCs/>
          <w:sz w:val="28"/>
          <w:szCs w:val="28"/>
        </w:rPr>
        <w:t>2.  Реализовывать плановые мероприятия по увеличению охвата детей с 5 до 18 лет дополнительным образование, в том числе при реализации внеурочной деятельности в рамках федеральных государственных образовательных стандартов основного общего образования.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Calibri" w:eastAsia="Calibri" w:hAnsi="Calibri" w:cs="Times New Roman"/>
          <w:bCs/>
          <w:sz w:val="28"/>
          <w:szCs w:val="28"/>
        </w:rPr>
        <w:tab/>
      </w:r>
      <w:r w:rsidRPr="005010B2">
        <w:rPr>
          <w:rFonts w:ascii="Times New Roman" w:eastAsia="Calibri" w:hAnsi="Times New Roman" w:cs="Times New Roman"/>
          <w:sz w:val="28"/>
          <w:szCs w:val="28"/>
        </w:rPr>
        <w:t>3. С целью совершенствования педагогических и управленческих процессов продолжить выстраивать плановую деятельность в образовательной организации для участия в независимой оценке качества по основным направлениям деятельности организации и на разных уровнях. Результаты данной деятельности представлять общественности, в том числе через средства массовой информации.</w:t>
      </w:r>
    </w:p>
    <w:p w:rsidR="005010B2" w:rsidRPr="005010B2" w:rsidRDefault="005010B2" w:rsidP="005010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10B2">
        <w:rPr>
          <w:rFonts w:ascii="Times New Roman" w:eastAsia="Calibri" w:hAnsi="Times New Roman" w:cs="Times New Roman"/>
          <w:sz w:val="28"/>
          <w:szCs w:val="28"/>
        </w:rPr>
        <w:tab/>
        <w:t>4. Провести анализ эффективности деятельности организации дополнительного образования по итогам 2018 года. Разработать меры по повышению эффективности деятельности в 2019 году.</w:t>
      </w:r>
    </w:p>
    <w:p w:rsidR="00D8527C" w:rsidRDefault="002E5AB2"/>
    <w:sectPr w:rsidR="00D8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283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67843"/>
    <w:multiLevelType w:val="hybridMultilevel"/>
    <w:tmpl w:val="8090B834"/>
    <w:lvl w:ilvl="0" w:tplc="4C269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5F8"/>
    <w:multiLevelType w:val="hybridMultilevel"/>
    <w:tmpl w:val="5FD285E2"/>
    <w:lvl w:ilvl="0" w:tplc="E754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32B9A"/>
    <w:multiLevelType w:val="hybridMultilevel"/>
    <w:tmpl w:val="DC9C0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F32E37"/>
    <w:multiLevelType w:val="hybridMultilevel"/>
    <w:tmpl w:val="75CE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81946"/>
    <w:multiLevelType w:val="hybridMultilevel"/>
    <w:tmpl w:val="8E28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2B0"/>
    <w:multiLevelType w:val="hybridMultilevel"/>
    <w:tmpl w:val="CC00D916"/>
    <w:lvl w:ilvl="0" w:tplc="E75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726862"/>
    <w:multiLevelType w:val="hybridMultilevel"/>
    <w:tmpl w:val="8CA66750"/>
    <w:lvl w:ilvl="0" w:tplc="698EF00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8615F9"/>
    <w:multiLevelType w:val="hybridMultilevel"/>
    <w:tmpl w:val="394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4212"/>
    <w:multiLevelType w:val="multilevel"/>
    <w:tmpl w:val="58B2FC1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4506DB"/>
    <w:multiLevelType w:val="hybridMultilevel"/>
    <w:tmpl w:val="63B0E63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29D72DA"/>
    <w:multiLevelType w:val="hybridMultilevel"/>
    <w:tmpl w:val="B7F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1E28"/>
    <w:multiLevelType w:val="hybridMultilevel"/>
    <w:tmpl w:val="D7BE197A"/>
    <w:lvl w:ilvl="0" w:tplc="DBF4B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5D40F9"/>
    <w:multiLevelType w:val="hybridMultilevel"/>
    <w:tmpl w:val="A3103FD4"/>
    <w:lvl w:ilvl="0" w:tplc="E17023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7048"/>
    <w:multiLevelType w:val="hybridMultilevel"/>
    <w:tmpl w:val="0AC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3E6B40"/>
    <w:multiLevelType w:val="hybridMultilevel"/>
    <w:tmpl w:val="AD344600"/>
    <w:lvl w:ilvl="0" w:tplc="698EF0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53C0E"/>
    <w:multiLevelType w:val="hybridMultilevel"/>
    <w:tmpl w:val="3BC41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197628"/>
    <w:multiLevelType w:val="hybridMultilevel"/>
    <w:tmpl w:val="8D64D1AA"/>
    <w:lvl w:ilvl="0" w:tplc="7F149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DBE2F09"/>
    <w:multiLevelType w:val="hybridMultilevel"/>
    <w:tmpl w:val="5BF06DB4"/>
    <w:lvl w:ilvl="0" w:tplc="698EF00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0C5A65"/>
    <w:multiLevelType w:val="hybridMultilevel"/>
    <w:tmpl w:val="2BF25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F25206"/>
    <w:multiLevelType w:val="hybridMultilevel"/>
    <w:tmpl w:val="1166E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5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19"/>
  </w:num>
  <w:num w:numId="15">
    <w:abstractNumId w:val="15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2"/>
    <w:rsid w:val="002E5AB2"/>
    <w:rsid w:val="005010B2"/>
    <w:rsid w:val="007903BF"/>
    <w:rsid w:val="00C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BE40"/>
  <w15:chartTrackingRefBased/>
  <w15:docId w15:val="{A06C5180-524C-44CE-8426-278C590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0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10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5010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B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0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10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010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010B2"/>
  </w:style>
  <w:style w:type="paragraph" w:customStyle="1" w:styleId="12">
    <w:name w:val="Обычный1"/>
    <w:rsid w:val="00501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5010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01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10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010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01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10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uiPriority w:val="59"/>
    <w:rsid w:val="0050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010B2"/>
    <w:rPr>
      <w:color w:val="0000FF"/>
      <w:u w:val="single"/>
    </w:rPr>
  </w:style>
  <w:style w:type="character" w:styleId="ab">
    <w:name w:val="FollowedHyperlink"/>
    <w:uiPriority w:val="99"/>
    <w:rsid w:val="005010B2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501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d">
    <w:name w:val="footnote text"/>
    <w:basedOn w:val="a"/>
    <w:link w:val="ae"/>
    <w:uiPriority w:val="99"/>
    <w:unhideWhenUsed/>
    <w:rsid w:val="005010B2"/>
    <w:pPr>
      <w:spacing w:after="0" w:line="240" w:lineRule="auto"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5010B2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5010B2"/>
    <w:rPr>
      <w:vertAlign w:val="superscript"/>
    </w:rPr>
  </w:style>
  <w:style w:type="character" w:customStyle="1" w:styleId="b-serp-urlitem1">
    <w:name w:val="b-serp-url__item1"/>
    <w:rsid w:val="005010B2"/>
    <w:rPr>
      <w:vanish w:val="0"/>
      <w:webHidden w:val="0"/>
      <w:specVanish w:val="0"/>
    </w:rPr>
  </w:style>
  <w:style w:type="character" w:customStyle="1" w:styleId="b-serp-urlmark1">
    <w:name w:val="b-serp-url__mark1"/>
    <w:rsid w:val="005010B2"/>
    <w:rPr>
      <w:rFonts w:ascii="Verdana" w:hAnsi="Verdana" w:hint="default"/>
    </w:rPr>
  </w:style>
  <w:style w:type="paragraph" w:customStyle="1" w:styleId="ConsPlusCell">
    <w:name w:val="ConsPlusCell"/>
    <w:rsid w:val="00501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010B2"/>
  </w:style>
  <w:style w:type="character" w:styleId="af0">
    <w:name w:val="Strong"/>
    <w:uiPriority w:val="22"/>
    <w:qFormat/>
    <w:rsid w:val="005010B2"/>
    <w:rPr>
      <w:b/>
      <w:bCs/>
    </w:rPr>
  </w:style>
  <w:style w:type="character" w:customStyle="1" w:styleId="apple-converted-space">
    <w:name w:val="apple-converted-space"/>
    <w:rsid w:val="005010B2"/>
  </w:style>
  <w:style w:type="character" w:styleId="af1">
    <w:name w:val="Emphasis"/>
    <w:uiPriority w:val="20"/>
    <w:qFormat/>
    <w:rsid w:val="005010B2"/>
    <w:rPr>
      <w:i/>
      <w:iCs/>
    </w:rPr>
  </w:style>
  <w:style w:type="paragraph" w:styleId="af2">
    <w:name w:val="List Paragraph"/>
    <w:basedOn w:val="a"/>
    <w:uiPriority w:val="34"/>
    <w:qFormat/>
    <w:rsid w:val="005010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5010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5010B2"/>
    <w:rPr>
      <w:rFonts w:ascii="Calibri" w:eastAsia="Calibri" w:hAnsi="Calibri" w:cs="Times New Roman"/>
      <w:lang w:val="x-none"/>
    </w:rPr>
  </w:style>
  <w:style w:type="table" w:customStyle="1" w:styleId="13">
    <w:name w:val="Сетка таблицы1"/>
    <w:basedOn w:val="a1"/>
    <w:next w:val="a9"/>
    <w:uiPriority w:val="59"/>
    <w:rsid w:val="005010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5010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Слотюк Наталья Владимировна</cp:lastModifiedBy>
  <cp:revision>1</cp:revision>
  <dcterms:created xsi:type="dcterms:W3CDTF">2021-11-03T04:16:00Z</dcterms:created>
  <dcterms:modified xsi:type="dcterms:W3CDTF">2021-11-03T04:31:00Z</dcterms:modified>
</cp:coreProperties>
</file>