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A44034">
        <w:rPr>
          <w:b/>
          <w:sz w:val="28"/>
          <w:szCs w:val="28"/>
        </w:rPr>
        <w:t>1 полугодие</w:t>
      </w:r>
      <w:r w:rsidR="00252C90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252C90">
        <w:rPr>
          <w:b/>
          <w:sz w:val="28"/>
          <w:szCs w:val="28"/>
        </w:rPr>
        <w:t>3</w:t>
      </w:r>
      <w:r w:rsidR="00185AF1" w:rsidRPr="00D635D4">
        <w:rPr>
          <w:b/>
          <w:sz w:val="28"/>
          <w:szCs w:val="28"/>
        </w:rPr>
        <w:t xml:space="preserve"> год</w:t>
      </w:r>
      <w:r w:rsidR="00252C90">
        <w:rPr>
          <w:b/>
          <w:sz w:val="28"/>
          <w:szCs w:val="28"/>
        </w:rPr>
        <w:t>а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845A6B" w:rsidRDefault="00845A6B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</w:t>
      </w:r>
      <w:r w:rsidR="0038593E">
        <w:rPr>
          <w:sz w:val="28"/>
          <w:szCs w:val="28"/>
        </w:rPr>
        <w:t>в</w:t>
      </w:r>
      <w:r w:rsidRPr="00262AD0">
        <w:rPr>
          <w:sz w:val="28"/>
          <w:szCs w:val="28"/>
        </w:rPr>
        <w:t xml:space="preserve"> </w:t>
      </w:r>
      <w:r w:rsidR="00A44034">
        <w:rPr>
          <w:sz w:val="28"/>
          <w:szCs w:val="28"/>
        </w:rPr>
        <w:t>1 полугоди</w:t>
      </w:r>
      <w:r w:rsidR="0038593E">
        <w:rPr>
          <w:sz w:val="28"/>
          <w:szCs w:val="28"/>
        </w:rPr>
        <w:t>и</w:t>
      </w:r>
      <w:r w:rsidR="00AD064E">
        <w:rPr>
          <w:sz w:val="28"/>
          <w:szCs w:val="28"/>
        </w:rPr>
        <w:t xml:space="preserve"> </w:t>
      </w:r>
      <w:r w:rsidRPr="00262AD0">
        <w:rPr>
          <w:sz w:val="28"/>
          <w:szCs w:val="28"/>
        </w:rPr>
        <w:t>202</w:t>
      </w:r>
      <w:r w:rsidR="00AD064E">
        <w:rPr>
          <w:sz w:val="28"/>
          <w:szCs w:val="28"/>
        </w:rPr>
        <w:t>3</w:t>
      </w:r>
      <w:r w:rsidRPr="00262AD0">
        <w:rPr>
          <w:sz w:val="28"/>
          <w:szCs w:val="28"/>
        </w:rPr>
        <w:t xml:space="preserve"> год</w:t>
      </w:r>
      <w:r w:rsidR="00AD064E">
        <w:rPr>
          <w:sz w:val="28"/>
          <w:szCs w:val="28"/>
        </w:rPr>
        <w:t>а</w:t>
      </w:r>
      <w:r w:rsidRPr="00262AD0">
        <w:rPr>
          <w:sz w:val="28"/>
          <w:szCs w:val="28"/>
        </w:rPr>
        <w:t xml:space="preserve"> приняты правовые акты в сфере закупок товаров, работ и услуг:</w:t>
      </w:r>
    </w:p>
    <w:p w:rsidR="00AD064E" w:rsidRPr="007B7232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AD064E">
        <w:rPr>
          <w:sz w:val="28"/>
          <w:szCs w:val="28"/>
        </w:rPr>
        <w:t xml:space="preserve">- </w:t>
      </w:r>
      <w:hyperlink r:id="rId8" w:tgtFrame="blank" w:tooltip="Постановления администрации города Постановления администрации города от 09.01.2023 №1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жн" w:history="1">
        <w:r w:rsidR="00AD064E" w:rsidRPr="007B7232">
          <w:rPr>
            <w:sz w:val="28"/>
            <w:szCs w:val="28"/>
            <w:shd w:val="clear" w:color="auto" w:fill="FFFFFF"/>
          </w:rPr>
          <w:t xml:space="preserve">постановление администрации города от 09.01.2023 №1 «О внесении изменений в приложение к постановлению администрации города от 31.07.2020 №652 </w:t>
        </w:r>
        <w:r w:rsidR="007B7232">
          <w:rPr>
            <w:sz w:val="28"/>
            <w:szCs w:val="28"/>
            <w:shd w:val="clear" w:color="auto" w:fill="FFFFFF"/>
          </w:rPr>
          <w:t>«</w:t>
        </w:r>
        <w:r w:rsidR="00AD064E" w:rsidRPr="007B7232">
          <w:rPr>
            <w:sz w:val="28"/>
            <w:szCs w:val="28"/>
            <w:shd w:val="clear" w:color="auto" w:fill="FFFFFF"/>
          </w:rPr>
          <w:t>Об утверждении нормативных затрат на обеспечение функций администрации города Нижневартовска</w:t>
        </w:r>
        <w:r w:rsidR="007B7232">
          <w:rPr>
            <w:sz w:val="28"/>
            <w:szCs w:val="28"/>
            <w:shd w:val="clear" w:color="auto" w:fill="FFFFFF"/>
          </w:rPr>
          <w:t>»</w:t>
        </w:r>
        <w:r w:rsidR="00AD064E" w:rsidRPr="007B7232">
          <w:rPr>
            <w:sz w:val="28"/>
            <w:szCs w:val="28"/>
            <w:shd w:val="clear" w:color="auto" w:fill="FFFFFF"/>
          </w:rPr>
          <w:t xml:space="preserve"> (с изменениями от 28.12.2020 №1121, 09.08.2021 №664, 02.11.2021 №885, 25.11.2021 №933, 13.04.2022 №238, 28.06.2022 №436, 23.08.2022 №596, 19.10.2022 №742)</w:t>
        </w:r>
      </w:hyperlink>
      <w:r w:rsidR="00AD064E" w:rsidRPr="007B7232">
        <w:rPr>
          <w:sz w:val="28"/>
          <w:szCs w:val="28"/>
        </w:rPr>
        <w:t>»;</w:t>
      </w:r>
    </w:p>
    <w:p w:rsidR="00AD064E" w:rsidRPr="007B7232" w:rsidRDefault="00D3163E" w:rsidP="003A00F0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 xml:space="preserve">- </w:t>
      </w:r>
      <w:r w:rsidR="007B7232" w:rsidRPr="007B7232">
        <w:rPr>
          <w:sz w:val="28"/>
          <w:szCs w:val="28"/>
        </w:rPr>
        <w:t>п</w:t>
      </w:r>
      <w:r w:rsidRPr="007B7232">
        <w:rPr>
          <w:sz w:val="28"/>
          <w:szCs w:val="28"/>
        </w:rPr>
        <w:t>остановлен</w:t>
      </w:r>
      <w:r w:rsidR="007B7232" w:rsidRPr="007B7232">
        <w:rPr>
          <w:sz w:val="28"/>
          <w:szCs w:val="28"/>
        </w:rPr>
        <w:t>ие</w:t>
      </w:r>
      <w:r w:rsidRPr="007B7232">
        <w:rPr>
          <w:sz w:val="28"/>
          <w:szCs w:val="28"/>
        </w:rPr>
        <w:t xml:space="preserve"> администрации города от 07.02.2023 №85 </w:t>
      </w:r>
      <w:r w:rsidR="007B7232">
        <w:rPr>
          <w:sz w:val="28"/>
          <w:szCs w:val="28"/>
        </w:rPr>
        <w:t>«</w:t>
      </w:r>
      <w:r w:rsidRPr="007B7232">
        <w:rPr>
          <w:sz w:val="28"/>
          <w:szCs w:val="28"/>
        </w:rPr>
        <w:t xml:space="preserve">О внесении изменений в постановление администрации города от 19.12.2013 №2681 </w:t>
      </w:r>
      <w:r w:rsidR="007B7232">
        <w:rPr>
          <w:sz w:val="28"/>
          <w:szCs w:val="28"/>
        </w:rPr>
        <w:t>«</w:t>
      </w:r>
      <w:r w:rsidRPr="007B7232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B7232">
        <w:rPr>
          <w:sz w:val="28"/>
          <w:szCs w:val="28"/>
        </w:rPr>
        <w:t>»</w:t>
      </w:r>
      <w:r w:rsidRPr="007B7232">
        <w:rPr>
          <w:sz w:val="28"/>
          <w:szCs w:val="28"/>
        </w:rPr>
        <w:t xml:space="preserve">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№1011, 10.08.2022 №560)</w:t>
      </w:r>
      <w:r w:rsidR="007B7232">
        <w:rPr>
          <w:sz w:val="28"/>
          <w:szCs w:val="28"/>
        </w:rPr>
        <w:t>»;</w:t>
      </w:r>
    </w:p>
    <w:p w:rsidR="007B7232" w:rsidRPr="007B7232" w:rsidRDefault="007B7232" w:rsidP="007B7232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 xml:space="preserve">- постановление администрации города от 15.02.2023 №111 </w:t>
      </w:r>
      <w:r>
        <w:rPr>
          <w:sz w:val="28"/>
          <w:szCs w:val="28"/>
        </w:rPr>
        <w:t>«</w:t>
      </w:r>
      <w:r w:rsidRPr="007B7232">
        <w:rPr>
          <w:sz w:val="28"/>
          <w:szCs w:val="28"/>
        </w:rPr>
        <w:t xml:space="preserve">О внесении изменений в приложения 2, 3 к постановлению администрации города от 31.07.2020 №653 </w:t>
      </w:r>
      <w:r>
        <w:rPr>
          <w:sz w:val="28"/>
          <w:szCs w:val="28"/>
        </w:rPr>
        <w:t>«</w:t>
      </w:r>
      <w:r w:rsidRPr="007B7232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7B7232">
        <w:rPr>
          <w:sz w:val="28"/>
          <w:szCs w:val="28"/>
        </w:rPr>
        <w:t xml:space="preserve"> (с изменениями от 29.12.2020 №1126, 10.03.2021 №186, 17.11.2021 №910, 11.04.2022 №233, 04.08.2022 №539, 07.12.2022 №852, 27.01.2023 №52)</w:t>
      </w:r>
      <w:r>
        <w:rPr>
          <w:sz w:val="28"/>
          <w:szCs w:val="28"/>
        </w:rPr>
        <w:t>»</w:t>
      </w:r>
      <w:r w:rsidRPr="007B7232">
        <w:rPr>
          <w:sz w:val="28"/>
          <w:szCs w:val="28"/>
        </w:rPr>
        <w:t>;</w:t>
      </w:r>
    </w:p>
    <w:p w:rsidR="00BB6E41" w:rsidRPr="00D52F74" w:rsidRDefault="007B7232" w:rsidP="00BB6E41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>- п</w:t>
      </w:r>
      <w:r w:rsidR="00D3163E" w:rsidRPr="007B7232">
        <w:rPr>
          <w:sz w:val="28"/>
          <w:szCs w:val="28"/>
        </w:rPr>
        <w:t>остановлени</w:t>
      </w:r>
      <w:r w:rsidRPr="007B7232">
        <w:rPr>
          <w:sz w:val="28"/>
          <w:szCs w:val="28"/>
        </w:rPr>
        <w:t>е</w:t>
      </w:r>
      <w:r w:rsidR="00D3163E" w:rsidRPr="007B7232">
        <w:rPr>
          <w:sz w:val="28"/>
          <w:szCs w:val="28"/>
        </w:rPr>
        <w:t xml:space="preserve"> администрации города от 22.03.2023 №232 </w:t>
      </w:r>
      <w:r>
        <w:rPr>
          <w:sz w:val="28"/>
          <w:szCs w:val="28"/>
        </w:rPr>
        <w:t>«</w:t>
      </w:r>
      <w:r w:rsidR="00D3163E" w:rsidRPr="007B7232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>
        <w:rPr>
          <w:sz w:val="28"/>
          <w:szCs w:val="28"/>
        </w:rPr>
        <w:t>«</w:t>
      </w:r>
      <w:r w:rsidR="00D3163E" w:rsidRPr="007B7232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="00D3163E" w:rsidRPr="007B7232">
        <w:rPr>
          <w:sz w:val="28"/>
          <w:szCs w:val="28"/>
        </w:rPr>
        <w:t xml:space="preserve"> (с изменениями от 28.12.2020 №1121, 09.08.2021 №664, 02.11.2021 №885, 25.11.2021 №933, 13.04.2022 №238, 28.</w:t>
      </w:r>
      <w:r w:rsidR="00D3163E" w:rsidRPr="00D52F74">
        <w:rPr>
          <w:sz w:val="28"/>
          <w:szCs w:val="28"/>
        </w:rPr>
        <w:t>06.2022 №436, 23.08.2022 №596, 19.10.2022 №742, 09.01.2023 №1)</w:t>
      </w:r>
      <w:r w:rsidR="00BB6E41" w:rsidRPr="00D52F74">
        <w:rPr>
          <w:sz w:val="28"/>
          <w:szCs w:val="28"/>
        </w:rPr>
        <w:t>»;</w:t>
      </w:r>
    </w:p>
    <w:p w:rsidR="00D52F74" w:rsidRPr="00D52F74" w:rsidRDefault="00D52F74" w:rsidP="00D52F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tgtFrame="blank" w:tooltip="Постановления администрации города Постановления администрации города от 13.04.2023 №293 О внесении изменений в приложения 2, 3 к постановлению администрации города от 31.07.2020 №653 &quot;Об утверждении нормативных затрат на обеспечение функций подведомственных а" w:history="1">
        <w:r>
          <w:rPr>
            <w:sz w:val="28"/>
            <w:szCs w:val="28"/>
            <w:shd w:val="clear" w:color="auto" w:fill="FFFFFF"/>
          </w:rPr>
          <w:t>п</w:t>
        </w:r>
        <w:r w:rsidRPr="00D52F74">
          <w:rPr>
            <w:sz w:val="28"/>
            <w:szCs w:val="28"/>
            <w:shd w:val="clear" w:color="auto" w:fill="FFFFFF"/>
          </w:rPr>
          <w:t>остановлени</w:t>
        </w:r>
        <w:r>
          <w:rPr>
            <w:sz w:val="28"/>
            <w:szCs w:val="28"/>
            <w:shd w:val="clear" w:color="auto" w:fill="FFFFFF"/>
          </w:rPr>
          <w:t>е</w:t>
        </w:r>
        <w:r w:rsidRPr="00D52F74">
          <w:rPr>
            <w:sz w:val="28"/>
            <w:szCs w:val="28"/>
            <w:shd w:val="clear" w:color="auto" w:fill="FFFFFF"/>
          </w:rPr>
          <w:t xml:space="preserve"> администрации города от 13.04.2023 №293 </w:t>
        </w:r>
        <w:r>
          <w:rPr>
            <w:sz w:val="28"/>
            <w:szCs w:val="28"/>
            <w:shd w:val="clear" w:color="auto" w:fill="FFFFFF"/>
          </w:rPr>
          <w:t>«</w:t>
        </w:r>
        <w:r w:rsidRPr="00D52F74">
          <w:rPr>
            <w:sz w:val="28"/>
            <w:szCs w:val="28"/>
            <w:shd w:val="clear" w:color="auto" w:fill="FFFFFF"/>
          </w:rPr>
          <w:t xml:space="preserve">О внесении изменений в приложения 2, 3 к постановлению администрации города от 31.07.2020 №653 </w:t>
        </w:r>
        <w:r>
          <w:rPr>
            <w:sz w:val="28"/>
            <w:szCs w:val="28"/>
            <w:shd w:val="clear" w:color="auto" w:fill="FFFFFF"/>
          </w:rPr>
          <w:t>«</w:t>
        </w:r>
        <w:r w:rsidRPr="00D52F74">
          <w:rPr>
            <w:sz w:val="28"/>
            <w:szCs w:val="28"/>
            <w:shd w:val="clear" w:color="auto" w:fill="FFFFFF"/>
          </w:rPr>
  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  </w:r>
        <w:r>
          <w:rPr>
            <w:sz w:val="28"/>
            <w:szCs w:val="28"/>
            <w:shd w:val="clear" w:color="auto" w:fill="FFFFFF"/>
          </w:rPr>
          <w:t>»</w:t>
        </w:r>
        <w:r w:rsidRPr="00D52F74">
          <w:rPr>
            <w:sz w:val="28"/>
            <w:szCs w:val="28"/>
            <w:shd w:val="clear" w:color="auto" w:fill="FFFFFF"/>
          </w:rPr>
          <w:t xml:space="preserve"> (с изменениями от 29.12.2020 №1126, 10.03.2021 №186, </w:t>
        </w:r>
        <w:r w:rsidRPr="00D52F74">
          <w:rPr>
            <w:sz w:val="28"/>
            <w:szCs w:val="28"/>
            <w:shd w:val="clear" w:color="auto" w:fill="FFFFFF"/>
          </w:rPr>
          <w:lastRenderedPageBreak/>
          <w:t>17.11.2021 №910, 11.04.2022 №233, 04.08.2022 №539, 07.12.2022 №852, 27.01.2023 №52, 15.02.2023 №111)</w:t>
        </w:r>
      </w:hyperlink>
      <w:r>
        <w:rPr>
          <w:sz w:val="28"/>
          <w:szCs w:val="28"/>
        </w:rPr>
        <w:t>»;</w:t>
      </w:r>
    </w:p>
    <w:p w:rsidR="00D52F74" w:rsidRPr="00D52F74" w:rsidRDefault="00D52F74" w:rsidP="00D52F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tgtFrame="blank" w:tooltip="Постановления администрации города Постановления администрации города от 20.04.2023 №308 О внесении изменений в приложения 1-4 к постановлению администрации города от 31.12.2015 №2370 &quot;О создании контрактных служб администрации города Нижневартовска&quot; (с измене" w:history="1">
        <w:r>
          <w:rPr>
            <w:sz w:val="28"/>
            <w:szCs w:val="28"/>
            <w:shd w:val="clear" w:color="auto" w:fill="FFFFFF"/>
          </w:rPr>
          <w:t>п</w:t>
        </w:r>
        <w:r w:rsidRPr="00D52F74">
          <w:rPr>
            <w:sz w:val="28"/>
            <w:szCs w:val="28"/>
            <w:shd w:val="clear" w:color="auto" w:fill="FFFFFF"/>
          </w:rPr>
          <w:t>остановлени</w:t>
        </w:r>
        <w:r>
          <w:rPr>
            <w:sz w:val="28"/>
            <w:szCs w:val="28"/>
            <w:shd w:val="clear" w:color="auto" w:fill="FFFFFF"/>
          </w:rPr>
          <w:t>е</w:t>
        </w:r>
        <w:r w:rsidRPr="00D52F74">
          <w:rPr>
            <w:sz w:val="28"/>
            <w:szCs w:val="28"/>
            <w:shd w:val="clear" w:color="auto" w:fill="FFFFFF"/>
          </w:rPr>
          <w:t xml:space="preserve"> администрации города от 20.04.2023 №308 </w:t>
        </w:r>
        <w:r>
          <w:rPr>
            <w:sz w:val="28"/>
            <w:szCs w:val="28"/>
            <w:shd w:val="clear" w:color="auto" w:fill="FFFFFF"/>
          </w:rPr>
          <w:t>«</w:t>
        </w:r>
        <w:r w:rsidRPr="00D52F74">
          <w:rPr>
            <w:sz w:val="28"/>
            <w:szCs w:val="28"/>
            <w:shd w:val="clear" w:color="auto" w:fill="FFFFFF"/>
          </w:rPr>
          <w:t>О внесении изменений в приложения 1-4 к постановлению администра</w:t>
        </w:r>
        <w:r>
          <w:rPr>
            <w:sz w:val="28"/>
            <w:szCs w:val="28"/>
            <w:shd w:val="clear" w:color="auto" w:fill="FFFFFF"/>
          </w:rPr>
          <w:t>ции города от 31.12.2015 №2370 «</w:t>
        </w:r>
        <w:r w:rsidRPr="00D52F74">
          <w:rPr>
            <w:sz w:val="28"/>
            <w:szCs w:val="28"/>
            <w:shd w:val="clear" w:color="auto" w:fill="FFFFFF"/>
          </w:rPr>
          <w:t>О создании контрактных служб администрации города Нижневартовска</w:t>
        </w:r>
        <w:r>
          <w:rPr>
            <w:sz w:val="28"/>
            <w:szCs w:val="28"/>
            <w:shd w:val="clear" w:color="auto" w:fill="FFFFFF"/>
          </w:rPr>
          <w:t>»</w:t>
        </w:r>
        <w:r w:rsidRPr="00D52F74">
          <w:rPr>
            <w:sz w:val="28"/>
            <w:szCs w:val="28"/>
            <w:shd w:val="clear" w:color="auto" w:fill="FFFFFF"/>
          </w:rPr>
          <w:t xml:space="preserve"> (с изменениями от 02.03.2017 №284, 26.01.2018 №93, 20.06.2018 №867, 21.04.2020 №357, 04.06.2020 №500, 23.07.2020 №632, 30.12.2020 №1127, 11.05.2021 №369, 08.02.2022 №55, 04.04.2022 №214)</w:t>
        </w:r>
      </w:hyperlink>
      <w:r>
        <w:rPr>
          <w:sz w:val="28"/>
          <w:szCs w:val="28"/>
        </w:rPr>
        <w:t>»</w:t>
      </w:r>
      <w:r w:rsidR="0038593E">
        <w:rPr>
          <w:sz w:val="28"/>
          <w:szCs w:val="28"/>
        </w:rPr>
        <w:t>;</w:t>
      </w:r>
    </w:p>
    <w:p w:rsidR="00BB6E41" w:rsidRPr="00D52F74" w:rsidRDefault="00BB6E41" w:rsidP="00BB6E41">
      <w:pPr>
        <w:widowControl w:val="0"/>
        <w:ind w:firstLine="709"/>
        <w:jc w:val="both"/>
        <w:rPr>
          <w:sz w:val="28"/>
          <w:szCs w:val="28"/>
        </w:rPr>
      </w:pPr>
      <w:r w:rsidRPr="00D52F74">
        <w:rPr>
          <w:sz w:val="28"/>
          <w:szCs w:val="28"/>
        </w:rPr>
        <w:t xml:space="preserve">- </w:t>
      </w:r>
      <w:hyperlink r:id="rId11" w:tgtFrame="blank" w:tooltip="Постановления администрации города Постановления администрации города от 21.04.2023 №312 О внесении изменений в постановление администрации города от 10.11.2014 №2251 &quot;Об определении случаев осуществления банковского сопровождения контрактов&quot; (с изменениями от" w:history="1">
        <w:r w:rsidRPr="00D52F74">
          <w:rPr>
            <w:sz w:val="28"/>
            <w:szCs w:val="28"/>
            <w:shd w:val="clear" w:color="auto" w:fill="FFFFFF"/>
          </w:rPr>
          <w:t>постановление администрации города от 21.04.2023 №312 «О внесении изменений в постановление администрации города от 10.11.2014 №2251</w:t>
        </w:r>
        <w:r w:rsidR="00D52F74">
          <w:rPr>
            <w:sz w:val="28"/>
            <w:szCs w:val="28"/>
            <w:shd w:val="clear" w:color="auto" w:fill="FFFFFF"/>
          </w:rPr>
          <w:t xml:space="preserve">                     </w:t>
        </w:r>
        <w:r w:rsidRPr="00D52F74">
          <w:rPr>
            <w:sz w:val="28"/>
            <w:szCs w:val="28"/>
            <w:shd w:val="clear" w:color="auto" w:fill="FFFFFF"/>
          </w:rPr>
          <w:t xml:space="preserve"> «Об определении случаев осуществления банковского сопровождения контрактов»</w:t>
        </w:r>
        <w:r w:rsidR="00D52F74">
          <w:rPr>
            <w:sz w:val="28"/>
            <w:szCs w:val="28"/>
            <w:shd w:val="clear" w:color="auto" w:fill="FFFFFF"/>
          </w:rPr>
          <w:t xml:space="preserve"> </w:t>
        </w:r>
        <w:r w:rsidRPr="00D52F74">
          <w:rPr>
            <w:sz w:val="28"/>
            <w:szCs w:val="28"/>
            <w:shd w:val="clear" w:color="auto" w:fill="FFFFFF"/>
          </w:rPr>
          <w:t xml:space="preserve"> (с изменениями от 28.12.2016 №1930, 19.01.2018 №57)</w:t>
        </w:r>
      </w:hyperlink>
      <w:r w:rsidRPr="00D52F74">
        <w:rPr>
          <w:sz w:val="28"/>
          <w:szCs w:val="28"/>
        </w:rPr>
        <w:t>»;</w:t>
      </w:r>
    </w:p>
    <w:p w:rsidR="00BB6E41" w:rsidRDefault="00D52F74" w:rsidP="00BB6E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tgtFrame="blank" w:tooltip="Постановления администрации города Постановления администрации города от 15.05.2023 №357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" w:history="1">
        <w:r>
          <w:rPr>
            <w:rStyle w:val="af2"/>
            <w:color w:val="auto"/>
            <w:sz w:val="28"/>
            <w:szCs w:val="28"/>
          </w:rPr>
          <w:t>п</w:t>
        </w:r>
        <w:r w:rsidRPr="00D52F74">
          <w:rPr>
            <w:rStyle w:val="af2"/>
            <w:color w:val="auto"/>
            <w:sz w:val="28"/>
            <w:szCs w:val="28"/>
          </w:rPr>
          <w:t>остановлени</w:t>
        </w:r>
        <w:r>
          <w:rPr>
            <w:rStyle w:val="af2"/>
            <w:color w:val="auto"/>
            <w:sz w:val="28"/>
            <w:szCs w:val="28"/>
          </w:rPr>
          <w:t>е</w:t>
        </w:r>
        <w:r w:rsidRPr="00D52F74">
          <w:rPr>
            <w:rStyle w:val="af2"/>
            <w:color w:val="auto"/>
            <w:sz w:val="28"/>
            <w:szCs w:val="28"/>
          </w:rPr>
          <w:t xml:space="preserve"> администрации города от 15.05.2023 №357 </w:t>
        </w:r>
        <w:r>
          <w:rPr>
            <w:rStyle w:val="af2"/>
            <w:color w:val="auto"/>
            <w:sz w:val="28"/>
            <w:szCs w:val="28"/>
          </w:rPr>
          <w:t>«</w:t>
        </w:r>
        <w:r w:rsidRPr="00D52F74">
          <w:rPr>
            <w:rStyle w:val="af2"/>
            <w:color w:val="auto"/>
            <w:sz w:val="28"/>
            <w:szCs w:val="28"/>
          </w:rPr>
          <w:t xml:space="preserve">О внесении изменений в приложение к постановлению администрации города от 31.07.2020 №652 </w:t>
        </w:r>
        <w:r>
          <w:rPr>
            <w:rStyle w:val="af2"/>
            <w:color w:val="auto"/>
            <w:sz w:val="28"/>
            <w:szCs w:val="28"/>
          </w:rPr>
          <w:t>«</w:t>
        </w:r>
        <w:r w:rsidRPr="00D52F74">
          <w:rPr>
            <w:rStyle w:val="af2"/>
            <w:color w:val="auto"/>
            <w:sz w:val="28"/>
            <w:szCs w:val="28"/>
          </w:rPr>
          <w:t>Об утверждении нормативных затрат на обеспечение функций администрации города Нижневартовска</w:t>
        </w:r>
        <w:r>
          <w:rPr>
            <w:rStyle w:val="af2"/>
            <w:color w:val="auto"/>
            <w:sz w:val="28"/>
            <w:szCs w:val="28"/>
          </w:rPr>
          <w:t>»</w:t>
        </w:r>
        <w:r w:rsidRPr="00D52F74">
          <w:rPr>
            <w:rStyle w:val="af2"/>
            <w:color w:val="auto"/>
            <w:sz w:val="28"/>
            <w:szCs w:val="28"/>
          </w:rPr>
          <w:t xml:space="preserve"> (с изменениями от 28.12.2020 №1121, 09.08.2021 №664, 02.11.2021 №885, 25.11.2021 №933, 13.04.2022 №238, 28.06.2022 №436, 23.08.2022 №596, 19.10.2022 №742, 09.01.2023 №1, 22.03.2023 №232)</w:t>
        </w:r>
      </w:hyperlink>
      <w:r w:rsidR="00845A6B">
        <w:rPr>
          <w:sz w:val="28"/>
          <w:szCs w:val="28"/>
        </w:rPr>
        <w:t>»;</w:t>
      </w:r>
    </w:p>
    <w:p w:rsidR="00845A6B" w:rsidRPr="00845A6B" w:rsidRDefault="00845A6B" w:rsidP="00BB6E41">
      <w:pPr>
        <w:widowControl w:val="0"/>
        <w:ind w:firstLine="709"/>
        <w:jc w:val="both"/>
        <w:rPr>
          <w:sz w:val="28"/>
          <w:szCs w:val="28"/>
        </w:rPr>
      </w:pPr>
      <w:r w:rsidRPr="00845A6B">
        <w:rPr>
          <w:sz w:val="28"/>
          <w:szCs w:val="28"/>
        </w:rPr>
        <w:t xml:space="preserve">- </w:t>
      </w:r>
      <w:hyperlink r:id="rId13" w:tgtFrame="blank" w:tooltip="Постановления администрации города Постановления администрации города от 19.05.2023 №373 О внесении изменений в постановление администрации города от 19.10.2018 №1312 &quot;Об утверждении нормативных затрат на обеспечение функций подведомственных департаменту жилищ" w:history="1">
        <w:r w:rsidRPr="00845A6B">
          <w:rPr>
            <w:sz w:val="28"/>
            <w:szCs w:val="28"/>
            <w:shd w:val="clear" w:color="auto" w:fill="FFFFFF"/>
          </w:rPr>
          <w:t>постановление администрации города от 19.05.2023 №373 «О внесении изменений в постановление администрации города от 19.10.2018 №1312 «Об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учреждений» (с изменениями от 20.06.2019 №478, 22.10.2019 №871, 29.07.2020 №649, 30.04.2021 №353, 11.08.2021 №673, 06.12.2021 №961, 17.05.2022 №312, 21.12.2022 №903)</w:t>
        </w:r>
      </w:hyperlink>
      <w:r w:rsidRPr="00845A6B">
        <w:rPr>
          <w:sz w:val="28"/>
          <w:szCs w:val="28"/>
        </w:rPr>
        <w:t xml:space="preserve">». </w:t>
      </w:r>
    </w:p>
    <w:p w:rsidR="00AD064E" w:rsidRDefault="00AD064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C10F4D" w:rsidRPr="009017EA" w:rsidRDefault="009017E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017EA">
        <w:rPr>
          <w:rFonts w:eastAsia="Calibri"/>
          <w:sz w:val="28"/>
          <w:szCs w:val="28"/>
        </w:rPr>
        <w:t xml:space="preserve">За </w:t>
      </w:r>
      <w:r w:rsidR="00A44034">
        <w:rPr>
          <w:rFonts w:eastAsia="Calibri"/>
          <w:sz w:val="28"/>
          <w:szCs w:val="28"/>
        </w:rPr>
        <w:t xml:space="preserve">1 полугодие </w:t>
      </w:r>
      <w:r w:rsidR="00D75FE2" w:rsidRPr="009017EA">
        <w:rPr>
          <w:rFonts w:eastAsia="Calibri"/>
          <w:sz w:val="28"/>
          <w:szCs w:val="28"/>
        </w:rPr>
        <w:t>20</w:t>
      </w:r>
      <w:r w:rsidR="00252C90">
        <w:rPr>
          <w:rFonts w:eastAsia="Calibri"/>
          <w:sz w:val="28"/>
          <w:szCs w:val="28"/>
        </w:rPr>
        <w:t>23</w:t>
      </w:r>
      <w:r w:rsidR="00D75FE2" w:rsidRPr="009017EA">
        <w:rPr>
          <w:rFonts w:eastAsia="Calibri"/>
          <w:sz w:val="28"/>
          <w:szCs w:val="28"/>
        </w:rPr>
        <w:t xml:space="preserve"> год</w:t>
      </w:r>
      <w:r w:rsidR="00252C90">
        <w:rPr>
          <w:rFonts w:eastAsia="Calibri"/>
          <w:sz w:val="28"/>
          <w:szCs w:val="28"/>
        </w:rPr>
        <w:t>а</w:t>
      </w:r>
      <w:r w:rsidR="00D75FE2" w:rsidRPr="009017EA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A44034">
        <w:rPr>
          <w:rFonts w:eastAsia="Calibri"/>
          <w:sz w:val="28"/>
          <w:szCs w:val="28"/>
        </w:rPr>
        <w:t>40</w:t>
      </w:r>
      <w:r w:rsidR="00970F32" w:rsidRPr="009017EA">
        <w:rPr>
          <w:rFonts w:eastAsia="Calibri"/>
          <w:sz w:val="28"/>
          <w:szCs w:val="28"/>
        </w:rPr>
        <w:t xml:space="preserve"> </w:t>
      </w:r>
      <w:r w:rsidR="00D75FE2" w:rsidRPr="009017EA">
        <w:rPr>
          <w:rFonts w:eastAsia="Calibri"/>
          <w:sz w:val="28"/>
          <w:szCs w:val="28"/>
        </w:rPr>
        <w:t>специалист</w:t>
      </w:r>
      <w:r w:rsidR="00A44034">
        <w:rPr>
          <w:rFonts w:eastAsia="Calibri"/>
          <w:sz w:val="28"/>
          <w:szCs w:val="28"/>
        </w:rPr>
        <w:t>ов</w:t>
      </w:r>
      <w:r w:rsidR="00D75FE2" w:rsidRPr="009017EA">
        <w:rPr>
          <w:rFonts w:eastAsia="Calibri"/>
          <w:sz w:val="28"/>
          <w:szCs w:val="28"/>
        </w:rPr>
        <w:t xml:space="preserve">, занятых в сфере закупок. </w:t>
      </w:r>
    </w:p>
    <w:p w:rsidR="00A44034" w:rsidRPr="00A44034" w:rsidRDefault="00A44034" w:rsidP="00A44034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44034">
        <w:rPr>
          <w:rFonts w:eastAsiaTheme="minorEastAsia"/>
          <w:color w:val="000000"/>
          <w:sz w:val="28"/>
          <w:szCs w:val="28"/>
        </w:rPr>
        <w:t xml:space="preserve">Управлением муниципальных закупок администрации города 18.04.2023 был организован семинар для </w:t>
      </w:r>
      <w:r w:rsidRPr="00A44034">
        <w:rPr>
          <w:rFonts w:eastAsiaTheme="minorEastAsia"/>
          <w:bCs/>
          <w:color w:val="000000"/>
          <w:sz w:val="28"/>
          <w:szCs w:val="28"/>
        </w:rPr>
        <w:t xml:space="preserve">должностных лиц органов местного самоуправления, заказчиков, </w:t>
      </w:r>
      <w:r w:rsidRPr="00A44034">
        <w:rPr>
          <w:rFonts w:eastAsiaTheme="minorEastAsia"/>
          <w:color w:val="000000"/>
          <w:sz w:val="28"/>
          <w:szCs w:val="28"/>
        </w:rPr>
        <w:t>осуществляющих закупки в соответствии</w:t>
      </w:r>
      <w:r>
        <w:rPr>
          <w:rFonts w:eastAsiaTheme="minorEastAsia"/>
          <w:color w:val="000000"/>
          <w:sz w:val="28"/>
          <w:szCs w:val="28"/>
        </w:rPr>
        <w:t xml:space="preserve">                               </w:t>
      </w:r>
      <w:r w:rsidRPr="00A44034">
        <w:rPr>
          <w:rFonts w:eastAsiaTheme="minorEastAsia"/>
          <w:color w:val="000000"/>
          <w:sz w:val="28"/>
          <w:szCs w:val="28"/>
        </w:rPr>
        <w:t xml:space="preserve"> с Федеральными законами от 05.04.2013 №44-ФЗ, от 18.07.2011 №223-ФЗ, </w:t>
      </w:r>
      <w:r>
        <w:rPr>
          <w:rFonts w:eastAsiaTheme="minorEastAsia"/>
          <w:color w:val="000000"/>
          <w:sz w:val="28"/>
          <w:szCs w:val="28"/>
        </w:rPr>
        <w:t xml:space="preserve">                            </w:t>
      </w:r>
      <w:r w:rsidRPr="00A44034">
        <w:rPr>
          <w:rFonts w:eastAsiaTheme="minorEastAsia"/>
          <w:color w:val="000000"/>
          <w:sz w:val="28"/>
          <w:szCs w:val="28"/>
        </w:rPr>
        <w:t xml:space="preserve">с приглашением представителей электронной площадки РТС-Тендер. </w:t>
      </w:r>
      <w:r>
        <w:rPr>
          <w:rFonts w:eastAsiaTheme="minorEastAsia"/>
          <w:color w:val="000000"/>
          <w:sz w:val="28"/>
          <w:szCs w:val="28"/>
        </w:rPr>
        <w:t xml:space="preserve">                              </w:t>
      </w:r>
      <w:r w:rsidRPr="00A44034">
        <w:rPr>
          <w:rFonts w:eastAsiaTheme="minorEastAsia"/>
          <w:color w:val="000000"/>
          <w:sz w:val="28"/>
          <w:szCs w:val="28"/>
        </w:rPr>
        <w:t>На семинаре присутствовало 113 и 40 человек, соответственно.</w:t>
      </w:r>
    </w:p>
    <w:p w:rsidR="00A44034" w:rsidRPr="00A44034" w:rsidRDefault="00A44034" w:rsidP="00A44034">
      <w:pPr>
        <w:ind w:firstLine="709"/>
        <w:jc w:val="both"/>
        <w:rPr>
          <w:rFonts w:eastAsiaTheme="minorEastAsia"/>
          <w:sz w:val="28"/>
          <w:szCs w:val="28"/>
        </w:rPr>
      </w:pPr>
      <w:r w:rsidRPr="00A44034">
        <w:rPr>
          <w:rFonts w:eastAsiaTheme="minorEastAsia"/>
          <w:sz w:val="28"/>
          <w:szCs w:val="28"/>
        </w:rPr>
        <w:t>Кроме того, управлением муниципальных закупок были направлены приглашения муниципальным заказчикам принять участие в онлайн-мероприятиях:</w:t>
      </w:r>
    </w:p>
    <w:p w:rsidR="00A44034" w:rsidRPr="00A44034" w:rsidRDefault="00A44034" w:rsidP="00A44034">
      <w:pPr>
        <w:ind w:firstLine="709"/>
        <w:jc w:val="both"/>
        <w:rPr>
          <w:bCs/>
          <w:sz w:val="28"/>
          <w:szCs w:val="28"/>
        </w:rPr>
      </w:pPr>
      <w:r w:rsidRPr="00A44034">
        <w:rPr>
          <w:rFonts w:eastAsiaTheme="minorEastAsia"/>
          <w:sz w:val="28"/>
          <w:szCs w:val="28"/>
        </w:rPr>
        <w:t>- вебинар на тему «</w:t>
      </w:r>
      <w:r w:rsidRPr="00A44034">
        <w:rPr>
          <w:rFonts w:eastAsiaTheme="minorEastAsia"/>
          <w:sz w:val="28"/>
          <w:szCs w:val="28"/>
          <w:shd w:val="clear" w:color="auto" w:fill="FFFFFF"/>
        </w:rPr>
        <w:t xml:space="preserve">Единые и дополнительные требования к участникам согласно </w:t>
      </w:r>
      <w:r w:rsidR="00845A6B">
        <w:rPr>
          <w:rFonts w:eastAsiaTheme="minorEastAsia"/>
          <w:sz w:val="28"/>
          <w:szCs w:val="28"/>
          <w:shd w:val="clear" w:color="auto" w:fill="FFFFFF"/>
        </w:rPr>
        <w:t xml:space="preserve">Федеральному закону </w:t>
      </w:r>
      <w:r w:rsidRPr="00A44034">
        <w:rPr>
          <w:rFonts w:eastAsiaTheme="minorEastAsia"/>
          <w:sz w:val="28"/>
          <w:szCs w:val="28"/>
          <w:shd w:val="clear" w:color="auto" w:fill="FFFFFF"/>
        </w:rPr>
        <w:t>№44-ФЗ: порядок подтверждения соответствия</w:t>
      </w:r>
      <w:r w:rsidRPr="00A44034">
        <w:rPr>
          <w:rFonts w:eastAsiaTheme="minorEastAsia"/>
          <w:sz w:val="28"/>
          <w:szCs w:val="28"/>
        </w:rPr>
        <w:t xml:space="preserve">», </w:t>
      </w:r>
      <w:r w:rsidRPr="00A44034">
        <w:rPr>
          <w:bCs/>
          <w:sz w:val="28"/>
          <w:szCs w:val="28"/>
        </w:rPr>
        <w:t>организованны</w:t>
      </w:r>
      <w:r>
        <w:rPr>
          <w:bCs/>
          <w:sz w:val="28"/>
          <w:szCs w:val="28"/>
        </w:rPr>
        <w:t>й</w:t>
      </w:r>
      <w:r w:rsidRPr="00A44034">
        <w:rPr>
          <w:bCs/>
          <w:sz w:val="28"/>
          <w:szCs w:val="28"/>
        </w:rPr>
        <w:t xml:space="preserve"> электронной торговой площадкой «РТС-тендер» (22.02.2023);</w:t>
      </w:r>
    </w:p>
    <w:p w:rsidR="00A44034" w:rsidRPr="00A44034" w:rsidRDefault="00A44034" w:rsidP="00A44034">
      <w:pPr>
        <w:tabs>
          <w:tab w:val="left" w:pos="1701"/>
        </w:tabs>
        <w:ind w:firstLine="709"/>
        <w:jc w:val="both"/>
        <w:rPr>
          <w:rFonts w:eastAsiaTheme="minorEastAsia"/>
          <w:sz w:val="28"/>
          <w:szCs w:val="28"/>
        </w:rPr>
      </w:pPr>
      <w:r w:rsidRPr="00A44034">
        <w:rPr>
          <w:rFonts w:eastAsiaTheme="minorEastAsia"/>
          <w:sz w:val="28"/>
          <w:szCs w:val="28"/>
        </w:rPr>
        <w:lastRenderedPageBreak/>
        <w:t>- вебинар на тему «</w:t>
      </w:r>
      <w:r w:rsidRPr="00A44034">
        <w:rPr>
          <w:sz w:val="28"/>
          <w:szCs w:val="28"/>
        </w:rPr>
        <w:t>Новые функциональные возможности единой информационной системы в сфере закупок версии 13.1»</w:t>
      </w:r>
      <w:r w:rsidRPr="00A44034">
        <w:rPr>
          <w:rFonts w:eastAsiaTheme="minorEastAsia"/>
          <w:sz w:val="28"/>
          <w:szCs w:val="28"/>
        </w:rPr>
        <w:t>, организованны</w:t>
      </w:r>
      <w:r>
        <w:rPr>
          <w:rFonts w:eastAsiaTheme="minorEastAsia"/>
          <w:sz w:val="28"/>
          <w:szCs w:val="28"/>
        </w:rPr>
        <w:t>й</w:t>
      </w:r>
      <w:r w:rsidRPr="00A44034">
        <w:rPr>
          <w:rFonts w:eastAsiaTheme="minorEastAsia"/>
          <w:sz w:val="28"/>
          <w:szCs w:val="28"/>
        </w:rPr>
        <w:t xml:space="preserve">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(24.03.2023);</w:t>
      </w:r>
    </w:p>
    <w:p w:rsidR="00A44034" w:rsidRPr="00A44034" w:rsidRDefault="00821C89" w:rsidP="00A44034">
      <w:pPr>
        <w:ind w:firstLine="709"/>
        <w:jc w:val="both"/>
        <w:rPr>
          <w:bCs/>
          <w:sz w:val="28"/>
          <w:szCs w:val="28"/>
        </w:rPr>
      </w:pPr>
      <w:hyperlink r:id="rId14" w:history="1">
        <w:r w:rsidR="00A44034" w:rsidRPr="00A44034">
          <w:rPr>
            <w:rFonts w:eastAsiaTheme="minorEastAsia"/>
            <w:sz w:val="28"/>
            <w:szCs w:val="28"/>
          </w:rPr>
          <w:t xml:space="preserve">- </w:t>
        </w:r>
        <w:r w:rsidR="00A44034" w:rsidRPr="00A44034">
          <w:rPr>
            <w:rFonts w:eastAsiaTheme="minorEastAsia"/>
            <w:bCs/>
            <w:sz w:val="28"/>
            <w:szCs w:val="28"/>
          </w:rPr>
          <w:t>семинар на тему «Национальный режим в 44-ФЗ. Обзор изменений 2022-2023 гг. Самые распространенные нарушения»,</w:t>
        </w:r>
      </w:hyperlink>
      <w:r w:rsidR="00A44034" w:rsidRPr="00A44034">
        <w:rPr>
          <w:rFonts w:eastAsiaTheme="minorEastAsia"/>
          <w:sz w:val="28"/>
          <w:szCs w:val="28"/>
        </w:rPr>
        <w:t xml:space="preserve"> </w:t>
      </w:r>
      <w:r w:rsidR="00A44034" w:rsidRPr="00A44034">
        <w:rPr>
          <w:bCs/>
          <w:sz w:val="28"/>
          <w:szCs w:val="28"/>
        </w:rPr>
        <w:t>организованны</w:t>
      </w:r>
      <w:r w:rsidR="00A44034">
        <w:rPr>
          <w:bCs/>
          <w:sz w:val="28"/>
          <w:szCs w:val="28"/>
        </w:rPr>
        <w:t>й</w:t>
      </w:r>
      <w:r w:rsidR="00A44034" w:rsidRPr="00A44034">
        <w:rPr>
          <w:bCs/>
          <w:sz w:val="28"/>
          <w:szCs w:val="28"/>
        </w:rPr>
        <w:t xml:space="preserve"> </w:t>
      </w:r>
      <w:r w:rsidR="00A44034" w:rsidRPr="00A44034">
        <w:rPr>
          <w:rFonts w:eastAsiaTheme="minorEastAsia"/>
          <w:sz w:val="28"/>
          <w:szCs w:val="28"/>
          <w:shd w:val="clear" w:color="auto" w:fill="FFFFFF"/>
        </w:rPr>
        <w:t xml:space="preserve">частным </w:t>
      </w:r>
      <w:r w:rsidR="0038593E" w:rsidRPr="0038593E">
        <w:rPr>
          <w:rFonts w:eastAsiaTheme="minorEastAsia"/>
          <w:sz w:val="28"/>
          <w:szCs w:val="28"/>
          <w:shd w:val="clear" w:color="auto" w:fill="FFFFFF"/>
        </w:rPr>
        <w:t>образовательным учреждением дополнительного профессионального «Институт развития 2000» (28.03.2023);</w:t>
      </w:r>
    </w:p>
    <w:p w:rsidR="00A44034" w:rsidRPr="00A44034" w:rsidRDefault="00A44034" w:rsidP="00A44034">
      <w:pPr>
        <w:ind w:firstLine="709"/>
        <w:jc w:val="both"/>
        <w:rPr>
          <w:bCs/>
          <w:sz w:val="28"/>
          <w:szCs w:val="28"/>
        </w:rPr>
      </w:pPr>
      <w:r w:rsidRPr="00A44034">
        <w:rPr>
          <w:rFonts w:eastAsiaTheme="minorEastAsia"/>
          <w:sz w:val="28"/>
          <w:szCs w:val="28"/>
        </w:rPr>
        <w:t xml:space="preserve">- семинар на тему «Проведение закупок по </w:t>
      </w:r>
      <w:r w:rsidR="00845A6B">
        <w:rPr>
          <w:rFonts w:eastAsiaTheme="minorEastAsia"/>
          <w:sz w:val="28"/>
          <w:szCs w:val="28"/>
          <w:shd w:val="clear" w:color="auto" w:fill="FFFFFF"/>
        </w:rPr>
        <w:t>Федеральному закону</w:t>
      </w:r>
      <w:r w:rsidRPr="00A44034">
        <w:rPr>
          <w:rFonts w:eastAsiaTheme="minorEastAsia"/>
          <w:sz w:val="28"/>
          <w:szCs w:val="28"/>
        </w:rPr>
        <w:t xml:space="preserve"> №44-ФЗ с учетом изменений 2023 года. Обзор основных нарушений Заказчиков при проведении закупок по закону №44-ФЗ»,</w:t>
      </w:r>
      <w:r w:rsidRPr="00A44034">
        <w:rPr>
          <w:bCs/>
          <w:sz w:val="28"/>
          <w:szCs w:val="28"/>
        </w:rPr>
        <w:t xml:space="preserve"> организованны</w:t>
      </w:r>
      <w:r>
        <w:rPr>
          <w:bCs/>
          <w:sz w:val="28"/>
          <w:szCs w:val="28"/>
        </w:rPr>
        <w:t>й</w:t>
      </w:r>
      <w:r w:rsidRPr="00A44034">
        <w:rPr>
          <w:bCs/>
          <w:sz w:val="28"/>
          <w:szCs w:val="28"/>
        </w:rPr>
        <w:t xml:space="preserve"> департаментом государственного заказа ХМАО-Югры совместно с Институтом госзакупок </w:t>
      </w:r>
      <w:r w:rsidR="00845A6B">
        <w:rPr>
          <w:bCs/>
          <w:sz w:val="28"/>
          <w:szCs w:val="28"/>
        </w:rPr>
        <w:t xml:space="preserve">                       </w:t>
      </w:r>
      <w:r w:rsidRPr="00A44034">
        <w:rPr>
          <w:bCs/>
          <w:sz w:val="28"/>
          <w:szCs w:val="28"/>
        </w:rPr>
        <w:t>г. Москва (24.05.2023);</w:t>
      </w:r>
    </w:p>
    <w:p w:rsidR="00A06584" w:rsidRPr="00A44034" w:rsidRDefault="00A44034" w:rsidP="00A44034">
      <w:pPr>
        <w:ind w:firstLine="709"/>
        <w:jc w:val="both"/>
        <w:rPr>
          <w:rFonts w:eastAsiaTheme="minorEastAsia"/>
          <w:sz w:val="28"/>
          <w:szCs w:val="28"/>
        </w:rPr>
      </w:pPr>
      <w:r w:rsidRPr="00A44034">
        <w:rPr>
          <w:rFonts w:eastAsiaTheme="minorEastAsia"/>
          <w:sz w:val="28"/>
          <w:szCs w:val="28"/>
        </w:rPr>
        <w:t>- вебинар на тему «</w:t>
      </w:r>
      <w:r w:rsidRPr="00A44034">
        <w:rPr>
          <w:sz w:val="28"/>
          <w:szCs w:val="28"/>
        </w:rPr>
        <w:t>Новые функциональные возможности единой информационной системы в сфере закупок версии 13.2»</w:t>
      </w:r>
      <w:r w:rsidRPr="00A44034">
        <w:rPr>
          <w:rFonts w:eastAsiaTheme="minorEastAsia"/>
          <w:sz w:val="28"/>
          <w:szCs w:val="28"/>
        </w:rPr>
        <w:t>, организованны</w:t>
      </w:r>
      <w:r>
        <w:rPr>
          <w:rFonts w:eastAsiaTheme="minorEastAsia"/>
          <w:sz w:val="28"/>
          <w:szCs w:val="28"/>
        </w:rPr>
        <w:t>й</w:t>
      </w:r>
      <w:r w:rsidRPr="00A44034">
        <w:rPr>
          <w:rFonts w:eastAsiaTheme="minorEastAsia"/>
          <w:sz w:val="28"/>
          <w:szCs w:val="28"/>
        </w:rPr>
        <w:t xml:space="preserve">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(28.06.2023).</w:t>
      </w:r>
    </w:p>
    <w:p w:rsidR="00A44034" w:rsidRPr="00BF11CB" w:rsidRDefault="00A44034" w:rsidP="00A44034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845A6B" w:rsidRDefault="00845A6B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AB5CDB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</w:t>
      </w:r>
      <w:r w:rsidR="0038593E">
        <w:rPr>
          <w:sz w:val="28"/>
          <w:szCs w:val="28"/>
        </w:rPr>
        <w:t>о</w:t>
      </w:r>
      <w:r w:rsidRPr="00D635D4">
        <w:rPr>
          <w:sz w:val="28"/>
          <w:szCs w:val="28"/>
        </w:rPr>
        <w:t>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>
        <w:rPr>
          <w:sz w:val="28"/>
          <w:szCs w:val="28"/>
        </w:rPr>
        <w:t>2</w:t>
      </w:r>
      <w:r w:rsidR="00D550C2">
        <w:rPr>
          <w:sz w:val="28"/>
          <w:szCs w:val="28"/>
        </w:rPr>
        <w:t>3</w:t>
      </w:r>
      <w:r w:rsidRPr="00D635D4">
        <w:rPr>
          <w:sz w:val="28"/>
          <w:szCs w:val="28"/>
        </w:rPr>
        <w:t xml:space="preserve"> год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</w:t>
      </w:r>
      <w:r w:rsidR="00D635D4" w:rsidRPr="00AB5CDB">
        <w:rPr>
          <w:sz w:val="28"/>
          <w:szCs w:val="28"/>
        </w:rPr>
        <w:t xml:space="preserve">состоянию на </w:t>
      </w:r>
      <w:r w:rsidR="00D550C2">
        <w:rPr>
          <w:sz w:val="28"/>
          <w:szCs w:val="28"/>
        </w:rPr>
        <w:t>01.0</w:t>
      </w:r>
      <w:r w:rsidR="00A44034">
        <w:rPr>
          <w:sz w:val="28"/>
          <w:szCs w:val="28"/>
        </w:rPr>
        <w:t>7</w:t>
      </w:r>
      <w:r w:rsidR="00D550C2">
        <w:rPr>
          <w:sz w:val="28"/>
          <w:szCs w:val="28"/>
        </w:rPr>
        <w:t>.2023</w:t>
      </w:r>
      <w:r w:rsidRPr="00AB5CDB">
        <w:rPr>
          <w:sz w:val="28"/>
          <w:szCs w:val="28"/>
        </w:rPr>
        <w:t xml:space="preserve"> составил </w:t>
      </w:r>
      <w:r w:rsidR="00A71C89">
        <w:rPr>
          <w:b/>
          <w:sz w:val="28"/>
          <w:szCs w:val="28"/>
        </w:rPr>
        <w:t>4,1</w:t>
      </w:r>
      <w:r w:rsidRPr="00AB5CDB">
        <w:rPr>
          <w:sz w:val="28"/>
          <w:szCs w:val="28"/>
        </w:rPr>
        <w:t xml:space="preserve"> млрд. рублей, в том числе:</w:t>
      </w:r>
    </w:p>
    <w:p w:rsidR="00F93595" w:rsidRPr="00A44034" w:rsidRDefault="00F93595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A44034">
        <w:rPr>
          <w:sz w:val="28"/>
          <w:szCs w:val="28"/>
        </w:rPr>
        <w:t xml:space="preserve">1) администрация города Нижневартовска – </w:t>
      </w:r>
      <w:r w:rsidR="00A44034" w:rsidRPr="00A44034">
        <w:rPr>
          <w:sz w:val="28"/>
          <w:szCs w:val="28"/>
        </w:rPr>
        <w:t>525,3</w:t>
      </w:r>
      <w:r w:rsidRPr="00A44034">
        <w:rPr>
          <w:sz w:val="28"/>
          <w:szCs w:val="28"/>
        </w:rPr>
        <w:t xml:space="preserve"> млн. руб. </w:t>
      </w:r>
      <w:r w:rsidR="00845A6B">
        <w:rPr>
          <w:sz w:val="28"/>
          <w:szCs w:val="28"/>
        </w:rPr>
        <w:t>(</w:t>
      </w:r>
      <w:r w:rsidR="00A71C89">
        <w:rPr>
          <w:sz w:val="28"/>
          <w:szCs w:val="28"/>
        </w:rPr>
        <w:t>12,9</w:t>
      </w:r>
      <w:r w:rsidRPr="00A44034">
        <w:rPr>
          <w:sz w:val="28"/>
          <w:szCs w:val="28"/>
        </w:rPr>
        <w:t>%)</w:t>
      </w:r>
      <w:r w:rsidR="00A37539" w:rsidRPr="00A44034">
        <w:rPr>
          <w:sz w:val="28"/>
          <w:szCs w:val="28"/>
        </w:rPr>
        <w:t xml:space="preserve">.  </w:t>
      </w:r>
      <w:r w:rsidRPr="00A44034">
        <w:rPr>
          <w:sz w:val="28"/>
          <w:szCs w:val="28"/>
        </w:rPr>
        <w:t xml:space="preserve"> </w:t>
      </w:r>
    </w:p>
    <w:p w:rsidR="0045708C" w:rsidRPr="00A44034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A44034">
        <w:rPr>
          <w:sz w:val="28"/>
          <w:szCs w:val="28"/>
        </w:rPr>
        <w:t>2) дума города Нижневартовска – 16,8 млн. руб. (</w:t>
      </w:r>
      <w:r w:rsidR="00A71C89">
        <w:rPr>
          <w:sz w:val="28"/>
          <w:szCs w:val="28"/>
        </w:rPr>
        <w:t>0,4</w:t>
      </w:r>
      <w:r w:rsidRPr="00A44034">
        <w:rPr>
          <w:sz w:val="28"/>
          <w:szCs w:val="28"/>
        </w:rPr>
        <w:t xml:space="preserve">%). </w:t>
      </w:r>
    </w:p>
    <w:p w:rsidR="00A37539" w:rsidRPr="00292269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A44034">
        <w:rPr>
          <w:sz w:val="28"/>
          <w:szCs w:val="28"/>
        </w:rPr>
        <w:t>3</w:t>
      </w:r>
      <w:r w:rsidR="00F93595" w:rsidRPr="00A44034">
        <w:rPr>
          <w:sz w:val="28"/>
          <w:szCs w:val="28"/>
        </w:rPr>
        <w:t>) департамент</w:t>
      </w:r>
      <w:bookmarkStart w:id="0" w:name="_GoBack"/>
      <w:bookmarkEnd w:id="0"/>
      <w:r w:rsidR="00F93595" w:rsidRPr="00A44034">
        <w:rPr>
          <w:sz w:val="28"/>
          <w:szCs w:val="28"/>
        </w:rPr>
        <w:t xml:space="preserve"> жилищно-коммунального хозяйства администрации        </w:t>
      </w:r>
      <w:r w:rsidR="00F93595" w:rsidRPr="00292269">
        <w:rPr>
          <w:sz w:val="28"/>
          <w:szCs w:val="28"/>
        </w:rPr>
        <w:t xml:space="preserve">города Нижневартовска – </w:t>
      </w:r>
      <w:r w:rsidR="00AB5CDB" w:rsidRPr="00292269">
        <w:rPr>
          <w:sz w:val="28"/>
          <w:szCs w:val="28"/>
        </w:rPr>
        <w:t>741,7</w:t>
      </w:r>
      <w:r w:rsidR="00F93595" w:rsidRPr="00292269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18,2</w:t>
      </w:r>
      <w:r w:rsidR="00F93595" w:rsidRPr="00292269">
        <w:rPr>
          <w:sz w:val="28"/>
          <w:szCs w:val="28"/>
        </w:rPr>
        <w:t xml:space="preserve">%). </w:t>
      </w:r>
    </w:p>
    <w:p w:rsidR="00A37539" w:rsidRPr="00292269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sz w:val="28"/>
          <w:szCs w:val="28"/>
        </w:rPr>
        <w:t>4</w:t>
      </w:r>
      <w:r w:rsidR="00F93595" w:rsidRPr="00292269">
        <w:rPr>
          <w:sz w:val="28"/>
          <w:szCs w:val="28"/>
        </w:rPr>
        <w:t xml:space="preserve">) департамент по социальной политике администрации города                Нижневартовска – </w:t>
      </w:r>
      <w:r w:rsidR="00292269" w:rsidRPr="00292269">
        <w:rPr>
          <w:sz w:val="28"/>
          <w:szCs w:val="28"/>
        </w:rPr>
        <w:t xml:space="preserve">0,72 </w:t>
      </w:r>
      <w:r w:rsidR="00F93595" w:rsidRPr="00292269">
        <w:rPr>
          <w:sz w:val="28"/>
          <w:szCs w:val="28"/>
        </w:rPr>
        <w:t>млн. руб. (</w:t>
      </w:r>
      <w:r w:rsidR="00F67453" w:rsidRPr="00292269">
        <w:rPr>
          <w:sz w:val="28"/>
          <w:szCs w:val="28"/>
        </w:rPr>
        <w:t>0,</w:t>
      </w:r>
      <w:r w:rsidR="00D550C2" w:rsidRPr="00292269">
        <w:rPr>
          <w:sz w:val="28"/>
          <w:szCs w:val="28"/>
        </w:rPr>
        <w:t>0</w:t>
      </w:r>
      <w:r w:rsidR="00A71C89">
        <w:rPr>
          <w:sz w:val="28"/>
          <w:szCs w:val="28"/>
        </w:rPr>
        <w:t>2</w:t>
      </w:r>
      <w:r w:rsidR="00F93595" w:rsidRPr="00292269">
        <w:rPr>
          <w:sz w:val="28"/>
          <w:szCs w:val="28"/>
        </w:rPr>
        <w:t xml:space="preserve">%). </w:t>
      </w:r>
    </w:p>
    <w:p w:rsidR="00A37539" w:rsidRPr="00292269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sz w:val="28"/>
          <w:szCs w:val="28"/>
        </w:rPr>
        <w:t>5</w:t>
      </w:r>
      <w:r w:rsidR="00F93595" w:rsidRPr="00292269">
        <w:rPr>
          <w:sz w:val="28"/>
          <w:szCs w:val="28"/>
        </w:rPr>
        <w:t xml:space="preserve">) департамент образования администрации города – </w:t>
      </w:r>
      <w:r w:rsidR="00FC4EF9" w:rsidRPr="00292269">
        <w:rPr>
          <w:sz w:val="28"/>
          <w:szCs w:val="28"/>
        </w:rPr>
        <w:t xml:space="preserve"> </w:t>
      </w:r>
      <w:r w:rsidR="00292269" w:rsidRPr="00292269">
        <w:rPr>
          <w:sz w:val="28"/>
          <w:szCs w:val="28"/>
        </w:rPr>
        <w:t>80,1</w:t>
      </w:r>
      <w:r w:rsidR="00F93595" w:rsidRPr="00292269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1,96</w:t>
      </w:r>
      <w:r w:rsidR="00A37539" w:rsidRPr="00292269">
        <w:rPr>
          <w:sz w:val="28"/>
          <w:szCs w:val="28"/>
        </w:rPr>
        <w:t>%).</w:t>
      </w:r>
    </w:p>
    <w:p w:rsidR="00A37539" w:rsidRPr="00B35169" w:rsidRDefault="0045708C" w:rsidP="00845A6B">
      <w:pPr>
        <w:widowControl w:val="0"/>
        <w:spacing w:after="60"/>
        <w:ind w:firstLine="709"/>
        <w:jc w:val="both"/>
        <w:rPr>
          <w:color w:val="FF0000"/>
          <w:sz w:val="28"/>
          <w:szCs w:val="28"/>
        </w:rPr>
      </w:pPr>
      <w:r w:rsidRPr="00C129BC">
        <w:rPr>
          <w:sz w:val="28"/>
          <w:szCs w:val="28"/>
        </w:rPr>
        <w:t>6</w:t>
      </w:r>
      <w:r w:rsidR="00F93595" w:rsidRPr="00C129BC">
        <w:rPr>
          <w:sz w:val="28"/>
          <w:szCs w:val="28"/>
        </w:rPr>
        <w:t xml:space="preserve">) учреждения образования </w:t>
      </w:r>
      <w:r w:rsidR="00980945" w:rsidRPr="00C129BC">
        <w:rPr>
          <w:sz w:val="28"/>
          <w:szCs w:val="28"/>
        </w:rPr>
        <w:t>(4</w:t>
      </w:r>
      <w:r w:rsidR="005934B3" w:rsidRPr="00C129BC">
        <w:rPr>
          <w:sz w:val="28"/>
          <w:szCs w:val="28"/>
        </w:rPr>
        <w:t>1</w:t>
      </w:r>
      <w:r w:rsidR="00980945" w:rsidRPr="00C129BC">
        <w:rPr>
          <w:sz w:val="28"/>
          <w:szCs w:val="28"/>
        </w:rPr>
        <w:t xml:space="preserve"> заказчик)</w:t>
      </w:r>
      <w:r w:rsidR="00C74A96" w:rsidRPr="00C129BC">
        <w:rPr>
          <w:sz w:val="28"/>
          <w:szCs w:val="28"/>
        </w:rPr>
        <w:t xml:space="preserve"> </w:t>
      </w:r>
      <w:r w:rsidR="00F93595" w:rsidRPr="00C129BC">
        <w:rPr>
          <w:sz w:val="28"/>
          <w:szCs w:val="28"/>
        </w:rPr>
        <w:t xml:space="preserve">– </w:t>
      </w:r>
      <w:r w:rsidR="00C129BC" w:rsidRPr="00C129BC">
        <w:rPr>
          <w:sz w:val="28"/>
          <w:szCs w:val="28"/>
        </w:rPr>
        <w:t>1 345,5</w:t>
      </w:r>
      <w:r w:rsidR="00F93595" w:rsidRPr="00C129BC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33</w:t>
      </w:r>
      <w:r w:rsidR="00F93595" w:rsidRPr="00C129BC">
        <w:rPr>
          <w:sz w:val="28"/>
          <w:szCs w:val="28"/>
        </w:rPr>
        <w:t xml:space="preserve">%). </w:t>
      </w:r>
    </w:p>
    <w:p w:rsidR="00A37539" w:rsidRPr="00B35169" w:rsidRDefault="0045708C" w:rsidP="00845A6B">
      <w:pPr>
        <w:widowControl w:val="0"/>
        <w:spacing w:after="60"/>
        <w:ind w:firstLine="709"/>
        <w:jc w:val="both"/>
        <w:rPr>
          <w:color w:val="FF0000"/>
          <w:sz w:val="28"/>
          <w:szCs w:val="28"/>
        </w:rPr>
      </w:pPr>
      <w:r w:rsidRPr="00C129BC">
        <w:rPr>
          <w:sz w:val="28"/>
          <w:szCs w:val="28"/>
        </w:rPr>
        <w:t>7</w:t>
      </w:r>
      <w:r w:rsidR="00F93595" w:rsidRPr="00C129BC">
        <w:rPr>
          <w:sz w:val="28"/>
          <w:szCs w:val="28"/>
        </w:rPr>
        <w:t xml:space="preserve">) учреждения культуры </w:t>
      </w:r>
      <w:r w:rsidR="00980945" w:rsidRPr="00C129BC">
        <w:rPr>
          <w:sz w:val="28"/>
          <w:szCs w:val="28"/>
        </w:rPr>
        <w:t xml:space="preserve">(5 заказчиков) </w:t>
      </w:r>
      <w:r w:rsidR="00F93595" w:rsidRPr="00C129BC">
        <w:rPr>
          <w:sz w:val="28"/>
          <w:szCs w:val="28"/>
        </w:rPr>
        <w:t xml:space="preserve">– </w:t>
      </w:r>
      <w:r w:rsidR="00C129BC" w:rsidRPr="00C129BC">
        <w:rPr>
          <w:sz w:val="28"/>
          <w:szCs w:val="28"/>
        </w:rPr>
        <w:t>121,9</w:t>
      </w:r>
      <w:r w:rsidR="00F93595" w:rsidRPr="00C129BC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3</w:t>
      </w:r>
      <w:r w:rsidR="00F93595" w:rsidRPr="00C129BC">
        <w:rPr>
          <w:sz w:val="28"/>
          <w:szCs w:val="28"/>
        </w:rPr>
        <w:t xml:space="preserve">%). </w:t>
      </w:r>
    </w:p>
    <w:p w:rsidR="00F93595" w:rsidRPr="00292269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sz w:val="28"/>
          <w:szCs w:val="28"/>
        </w:rPr>
        <w:t>8</w:t>
      </w:r>
      <w:r w:rsidR="00F93595" w:rsidRPr="00292269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292269">
        <w:rPr>
          <w:sz w:val="28"/>
          <w:szCs w:val="28"/>
        </w:rPr>
        <w:t xml:space="preserve"> </w:t>
      </w:r>
      <w:r w:rsidR="00292269" w:rsidRPr="00292269">
        <w:rPr>
          <w:sz w:val="28"/>
          <w:szCs w:val="28"/>
        </w:rPr>
        <w:t>337,4</w:t>
      </w:r>
      <w:r w:rsidR="00F93595" w:rsidRPr="00292269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8,3</w:t>
      </w:r>
      <w:r w:rsidR="00F93595" w:rsidRPr="00292269">
        <w:rPr>
          <w:sz w:val="28"/>
          <w:szCs w:val="28"/>
        </w:rPr>
        <w:t>%)</w:t>
      </w:r>
      <w:r w:rsidR="004259D9" w:rsidRPr="00292269">
        <w:rPr>
          <w:sz w:val="28"/>
          <w:szCs w:val="28"/>
        </w:rPr>
        <w:t>.</w:t>
      </w:r>
      <w:r w:rsidR="00F93595" w:rsidRPr="00292269">
        <w:rPr>
          <w:sz w:val="28"/>
          <w:szCs w:val="28"/>
        </w:rPr>
        <w:t xml:space="preserve">  </w:t>
      </w:r>
    </w:p>
    <w:p w:rsidR="00E92D84" w:rsidRPr="001848FE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1848FE">
        <w:rPr>
          <w:sz w:val="28"/>
          <w:szCs w:val="28"/>
        </w:rPr>
        <w:t>9</w:t>
      </w:r>
      <w:r w:rsidR="00E92D84" w:rsidRPr="001848FE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1848FE">
        <w:rPr>
          <w:sz w:val="28"/>
          <w:szCs w:val="28"/>
        </w:rPr>
        <w:t>18,3</w:t>
      </w:r>
      <w:r w:rsidR="00E92D84" w:rsidRPr="001848FE">
        <w:rPr>
          <w:sz w:val="28"/>
          <w:szCs w:val="28"/>
        </w:rPr>
        <w:t xml:space="preserve"> млн. руб.</w:t>
      </w:r>
      <w:r w:rsidR="006C5BF7" w:rsidRPr="001848FE">
        <w:rPr>
          <w:sz w:val="28"/>
          <w:szCs w:val="28"/>
        </w:rPr>
        <w:t xml:space="preserve"> (</w:t>
      </w:r>
      <w:r w:rsidR="00A71C89">
        <w:rPr>
          <w:sz w:val="28"/>
          <w:szCs w:val="28"/>
        </w:rPr>
        <w:t>0,4</w:t>
      </w:r>
      <w:r w:rsidR="006C5BF7" w:rsidRPr="001848FE">
        <w:rPr>
          <w:sz w:val="28"/>
          <w:szCs w:val="28"/>
        </w:rPr>
        <w:t>%)</w:t>
      </w:r>
      <w:r w:rsidR="004259D9" w:rsidRPr="001848FE">
        <w:rPr>
          <w:sz w:val="28"/>
          <w:szCs w:val="28"/>
        </w:rPr>
        <w:t>.</w:t>
      </w:r>
      <w:r w:rsidR="00E92D84" w:rsidRPr="001848FE">
        <w:rPr>
          <w:sz w:val="28"/>
          <w:szCs w:val="28"/>
        </w:rPr>
        <w:t xml:space="preserve"> </w:t>
      </w:r>
    </w:p>
    <w:p w:rsidR="0045708C" w:rsidRPr="00292269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sz w:val="28"/>
          <w:szCs w:val="28"/>
        </w:rPr>
        <w:lastRenderedPageBreak/>
        <w:t xml:space="preserve">10) муниципальное казенное учреждение "Управление капитального                строительства города Нижневартовска" – </w:t>
      </w:r>
      <w:r w:rsidR="00292269">
        <w:rPr>
          <w:sz w:val="28"/>
          <w:szCs w:val="28"/>
        </w:rPr>
        <w:t>676,6</w:t>
      </w:r>
      <w:r w:rsidRPr="00292269">
        <w:rPr>
          <w:sz w:val="28"/>
          <w:szCs w:val="28"/>
        </w:rPr>
        <w:t xml:space="preserve"> млн. руб. (</w:t>
      </w:r>
      <w:r w:rsidR="00A71C89">
        <w:rPr>
          <w:sz w:val="28"/>
          <w:szCs w:val="28"/>
        </w:rPr>
        <w:t>16,6</w:t>
      </w:r>
      <w:r w:rsidRPr="00292269">
        <w:rPr>
          <w:sz w:val="28"/>
          <w:szCs w:val="28"/>
        </w:rPr>
        <w:t xml:space="preserve">%). </w:t>
      </w:r>
    </w:p>
    <w:p w:rsidR="0045708C" w:rsidRPr="001848FE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1848FE">
        <w:rPr>
          <w:sz w:val="28"/>
          <w:szCs w:val="28"/>
        </w:rPr>
        <w:t xml:space="preserve">11)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1848FE">
        <w:rPr>
          <w:sz w:val="28"/>
          <w:szCs w:val="28"/>
        </w:rPr>
        <w:t>117,0</w:t>
      </w:r>
      <w:r w:rsidR="00A71C89">
        <w:rPr>
          <w:sz w:val="28"/>
          <w:szCs w:val="28"/>
        </w:rPr>
        <w:t xml:space="preserve"> млн. руб. (2,9</w:t>
      </w:r>
      <w:r w:rsidRPr="001848FE">
        <w:rPr>
          <w:sz w:val="28"/>
          <w:szCs w:val="28"/>
        </w:rPr>
        <w:t xml:space="preserve">%). </w:t>
      </w:r>
    </w:p>
    <w:p w:rsidR="0045708C" w:rsidRPr="00AC7025" w:rsidRDefault="0045708C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AC7025">
        <w:rPr>
          <w:sz w:val="28"/>
          <w:szCs w:val="28"/>
        </w:rPr>
        <w:t xml:space="preserve">12)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AC7025" w:rsidRPr="00AC7025">
        <w:rPr>
          <w:sz w:val="28"/>
          <w:szCs w:val="28"/>
        </w:rPr>
        <w:t>85,6</w:t>
      </w:r>
      <w:r w:rsidR="00A71C89">
        <w:rPr>
          <w:sz w:val="28"/>
          <w:szCs w:val="28"/>
        </w:rPr>
        <w:t xml:space="preserve"> млн. руб. (2,1</w:t>
      </w:r>
      <w:r w:rsidRPr="00AC7025">
        <w:rPr>
          <w:sz w:val="28"/>
          <w:szCs w:val="28"/>
        </w:rPr>
        <w:t xml:space="preserve">%). </w:t>
      </w:r>
    </w:p>
    <w:p w:rsidR="002103E2" w:rsidRPr="00292269" w:rsidRDefault="00A37539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noProof/>
          <w:sz w:val="28"/>
          <w:szCs w:val="28"/>
        </w:rPr>
        <w:t>1</w:t>
      </w:r>
      <w:r w:rsidR="00D601FA" w:rsidRPr="00292269">
        <w:rPr>
          <w:noProof/>
          <w:sz w:val="28"/>
          <w:szCs w:val="28"/>
        </w:rPr>
        <w:t>3</w:t>
      </w:r>
      <w:r w:rsidR="002103E2" w:rsidRPr="00292269">
        <w:rPr>
          <w:noProof/>
          <w:sz w:val="28"/>
          <w:szCs w:val="28"/>
        </w:rPr>
        <w:t xml:space="preserve">) </w:t>
      </w:r>
      <w:r w:rsidR="002103E2" w:rsidRPr="00292269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D550C2" w:rsidRPr="00292269">
        <w:rPr>
          <w:sz w:val="28"/>
          <w:szCs w:val="28"/>
        </w:rPr>
        <w:t>10,1</w:t>
      </w:r>
      <w:r w:rsidR="00786C41" w:rsidRPr="00292269">
        <w:rPr>
          <w:sz w:val="28"/>
          <w:szCs w:val="28"/>
        </w:rPr>
        <w:t xml:space="preserve"> </w:t>
      </w:r>
      <w:r w:rsidR="002103E2" w:rsidRPr="00292269">
        <w:rPr>
          <w:sz w:val="28"/>
          <w:szCs w:val="28"/>
        </w:rPr>
        <w:t>млн. руб. (</w:t>
      </w:r>
      <w:r w:rsidR="00650D8C" w:rsidRPr="00292269">
        <w:rPr>
          <w:sz w:val="28"/>
          <w:szCs w:val="28"/>
        </w:rPr>
        <w:t>0,</w:t>
      </w:r>
      <w:r w:rsidR="001A4842" w:rsidRPr="00292269">
        <w:rPr>
          <w:sz w:val="28"/>
          <w:szCs w:val="28"/>
        </w:rPr>
        <w:t>2</w:t>
      </w:r>
      <w:r w:rsidR="002103E2" w:rsidRPr="00292269">
        <w:rPr>
          <w:sz w:val="28"/>
          <w:szCs w:val="28"/>
        </w:rPr>
        <w:t xml:space="preserve">%). </w:t>
      </w:r>
    </w:p>
    <w:p w:rsidR="001A4842" w:rsidRPr="00292269" w:rsidRDefault="001A4842" w:rsidP="00845A6B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92269">
        <w:rPr>
          <w:sz w:val="28"/>
          <w:szCs w:val="28"/>
        </w:rPr>
        <w:t>14) муниципальное унитарное предприятие города Нижневартовска            "Горводоканал" (за счет средств городского бюджета) – 0,86 млн. руб. (0,0</w:t>
      </w:r>
      <w:r w:rsidR="00A71C89">
        <w:rPr>
          <w:sz w:val="28"/>
          <w:szCs w:val="28"/>
        </w:rPr>
        <w:t>2</w:t>
      </w:r>
      <w:r w:rsidRPr="00292269">
        <w:rPr>
          <w:sz w:val="28"/>
          <w:szCs w:val="28"/>
        </w:rPr>
        <w:t>%).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4E1C" w:rsidRDefault="008769C7" w:rsidP="007B4E1C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7B4E1C">
      <w:pPr>
        <w:ind w:firstLine="709"/>
        <w:jc w:val="both"/>
        <w:rPr>
          <w:i/>
          <w:sz w:val="28"/>
          <w:szCs w:val="28"/>
        </w:rPr>
      </w:pPr>
      <w:r w:rsidRPr="006A5EAD">
        <w:rPr>
          <w:sz w:val="28"/>
          <w:szCs w:val="28"/>
        </w:rPr>
        <w:t>Так ф</w:t>
      </w:r>
      <w:r w:rsidR="00F93595" w:rsidRPr="006A5EAD">
        <w:rPr>
          <w:sz w:val="28"/>
          <w:szCs w:val="28"/>
        </w:rPr>
        <w:t xml:space="preserve">актическое исполнение планов-графиков за </w:t>
      </w:r>
      <w:r w:rsidR="00A44034" w:rsidRPr="006A5EAD">
        <w:rPr>
          <w:sz w:val="28"/>
          <w:szCs w:val="28"/>
        </w:rPr>
        <w:t>1 полугодие</w:t>
      </w:r>
      <w:r w:rsidR="00C7139A" w:rsidRPr="006A5EAD">
        <w:rPr>
          <w:sz w:val="28"/>
          <w:szCs w:val="28"/>
        </w:rPr>
        <w:t xml:space="preserve"> </w:t>
      </w:r>
      <w:r w:rsidR="00F93595" w:rsidRPr="006A5EAD">
        <w:rPr>
          <w:sz w:val="28"/>
          <w:szCs w:val="28"/>
        </w:rPr>
        <w:t>20</w:t>
      </w:r>
      <w:r w:rsidR="0040623A" w:rsidRPr="006A5EAD">
        <w:rPr>
          <w:sz w:val="28"/>
          <w:szCs w:val="28"/>
        </w:rPr>
        <w:t>2</w:t>
      </w:r>
      <w:r w:rsidR="00C7139A" w:rsidRPr="006A5EAD">
        <w:rPr>
          <w:sz w:val="28"/>
          <w:szCs w:val="28"/>
        </w:rPr>
        <w:t>3</w:t>
      </w:r>
      <w:r w:rsidR="00F93595" w:rsidRPr="006A5EAD">
        <w:rPr>
          <w:sz w:val="28"/>
          <w:szCs w:val="28"/>
        </w:rPr>
        <w:t xml:space="preserve"> год</w:t>
      </w:r>
      <w:r w:rsidR="00C7139A" w:rsidRPr="006A5EAD">
        <w:rPr>
          <w:sz w:val="28"/>
          <w:szCs w:val="28"/>
        </w:rPr>
        <w:t>а</w:t>
      </w:r>
      <w:r w:rsidR="00F93595" w:rsidRPr="006A5EAD">
        <w:rPr>
          <w:sz w:val="28"/>
          <w:szCs w:val="28"/>
        </w:rPr>
        <w:t xml:space="preserve"> составило </w:t>
      </w:r>
      <w:r w:rsidR="006A5EAD" w:rsidRPr="006A5EAD">
        <w:rPr>
          <w:sz w:val="28"/>
          <w:szCs w:val="28"/>
        </w:rPr>
        <w:t>54</w:t>
      </w:r>
      <w:r w:rsidR="00F93595" w:rsidRPr="006A5EAD">
        <w:rPr>
          <w:sz w:val="28"/>
          <w:szCs w:val="28"/>
        </w:rPr>
        <w:t>% от запланированного объема закупок</w:t>
      </w:r>
      <w:r w:rsidR="00F93595" w:rsidRPr="006A5EAD">
        <w:rPr>
          <w:i/>
          <w:sz w:val="28"/>
          <w:szCs w:val="28"/>
        </w:rPr>
        <w:t>.</w:t>
      </w:r>
    </w:p>
    <w:p w:rsidR="00B62472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C4E" w:rsidRPr="006A5EAD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EAD">
        <w:rPr>
          <w:rFonts w:eastAsia="Calibri"/>
          <w:sz w:val="28"/>
          <w:szCs w:val="28"/>
          <w:lang w:eastAsia="en-US"/>
        </w:rPr>
        <w:t xml:space="preserve">Объем конкурентных закупок в </w:t>
      </w:r>
      <w:r w:rsidR="0012111B" w:rsidRPr="006A5EAD">
        <w:rPr>
          <w:rFonts w:eastAsia="Calibri"/>
          <w:sz w:val="28"/>
          <w:szCs w:val="28"/>
          <w:lang w:eastAsia="en-US"/>
        </w:rPr>
        <w:t>1 полугодии</w:t>
      </w:r>
      <w:r w:rsidR="00101C19" w:rsidRPr="006A5EAD">
        <w:rPr>
          <w:rFonts w:eastAsia="Calibri"/>
          <w:sz w:val="28"/>
          <w:szCs w:val="28"/>
          <w:lang w:eastAsia="en-US"/>
        </w:rPr>
        <w:t xml:space="preserve"> </w:t>
      </w:r>
      <w:r w:rsidRPr="006A5EAD">
        <w:rPr>
          <w:rFonts w:eastAsia="Calibri"/>
          <w:sz w:val="28"/>
          <w:szCs w:val="28"/>
          <w:lang w:eastAsia="en-US"/>
        </w:rPr>
        <w:t>202</w:t>
      </w:r>
      <w:r w:rsidR="00101C19" w:rsidRPr="006A5EAD">
        <w:rPr>
          <w:rFonts w:eastAsia="Calibri"/>
          <w:sz w:val="28"/>
          <w:szCs w:val="28"/>
          <w:lang w:eastAsia="en-US"/>
        </w:rPr>
        <w:t>3</w:t>
      </w:r>
      <w:r w:rsidRPr="006A5EAD">
        <w:rPr>
          <w:rFonts w:eastAsia="Calibri"/>
          <w:sz w:val="28"/>
          <w:szCs w:val="28"/>
          <w:lang w:eastAsia="en-US"/>
        </w:rPr>
        <w:t xml:space="preserve"> год</w:t>
      </w:r>
      <w:r w:rsidR="00101C19" w:rsidRPr="006A5EAD">
        <w:rPr>
          <w:rFonts w:eastAsia="Calibri"/>
          <w:sz w:val="28"/>
          <w:szCs w:val="28"/>
          <w:lang w:eastAsia="en-US"/>
        </w:rPr>
        <w:t>а</w:t>
      </w:r>
      <w:r w:rsidRPr="006A5EAD">
        <w:rPr>
          <w:rFonts w:eastAsia="Calibri"/>
          <w:sz w:val="28"/>
          <w:szCs w:val="28"/>
          <w:lang w:eastAsia="en-US"/>
        </w:rPr>
        <w:t xml:space="preserve"> составил </w:t>
      </w:r>
      <w:r w:rsidR="006A5EAD" w:rsidRPr="006A5EAD">
        <w:rPr>
          <w:b/>
          <w:bCs/>
          <w:sz w:val="28"/>
          <w:szCs w:val="28"/>
        </w:rPr>
        <w:t>1 486,7</w:t>
      </w:r>
      <w:r w:rsidRPr="006A5EAD">
        <w:rPr>
          <w:b/>
          <w:bCs/>
          <w:sz w:val="28"/>
          <w:szCs w:val="28"/>
        </w:rPr>
        <w:t xml:space="preserve"> </w:t>
      </w:r>
      <w:r w:rsidRPr="006A5EAD">
        <w:rPr>
          <w:rFonts w:eastAsia="Calibri"/>
          <w:sz w:val="28"/>
          <w:szCs w:val="28"/>
          <w:lang w:eastAsia="en-US"/>
        </w:rPr>
        <w:t>млн. рублей</w:t>
      </w:r>
      <w:r w:rsidR="00A2097E" w:rsidRPr="006A5EAD">
        <w:rPr>
          <w:rFonts w:eastAsia="Calibri"/>
          <w:sz w:val="28"/>
          <w:szCs w:val="28"/>
          <w:lang w:eastAsia="en-US"/>
        </w:rPr>
        <w:t xml:space="preserve"> или </w:t>
      </w:r>
      <w:r w:rsidR="008661A5" w:rsidRPr="006A5EAD">
        <w:rPr>
          <w:rFonts w:eastAsia="Calibri"/>
          <w:sz w:val="28"/>
          <w:szCs w:val="28"/>
          <w:lang w:eastAsia="en-US"/>
        </w:rPr>
        <w:t>6</w:t>
      </w:r>
      <w:r w:rsidR="006A5EAD" w:rsidRPr="006A5EAD">
        <w:rPr>
          <w:rFonts w:eastAsia="Calibri"/>
          <w:sz w:val="28"/>
          <w:szCs w:val="28"/>
          <w:lang w:eastAsia="en-US"/>
        </w:rPr>
        <w:t>9</w:t>
      </w:r>
      <w:r w:rsidR="00A2097E" w:rsidRPr="006A5EAD">
        <w:rPr>
          <w:rFonts w:eastAsia="Calibri"/>
          <w:sz w:val="28"/>
          <w:szCs w:val="28"/>
          <w:lang w:eastAsia="en-US"/>
        </w:rPr>
        <w:t>% от общей суммы размещенных закупок</w:t>
      </w:r>
      <w:r w:rsidRPr="006A5EAD">
        <w:rPr>
          <w:rFonts w:eastAsia="Calibri"/>
          <w:sz w:val="28"/>
          <w:szCs w:val="28"/>
          <w:lang w:eastAsia="en-US"/>
        </w:rPr>
        <w:t xml:space="preserve">.  </w:t>
      </w:r>
      <w:r w:rsidR="00A37539" w:rsidRPr="006A5EAD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6A5EAD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</w:t>
      </w:r>
      <w:r w:rsidR="006A5EA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DD5C4E" w:rsidRPr="006A5EAD">
        <w:rPr>
          <w:rFonts w:eastAsia="Calibri"/>
          <w:sz w:val="28"/>
          <w:szCs w:val="28"/>
          <w:lang w:eastAsia="en-US"/>
        </w:rPr>
        <w:t xml:space="preserve">На электронные аукционы приходится </w:t>
      </w:r>
      <w:r w:rsidR="006A5EAD">
        <w:rPr>
          <w:rFonts w:eastAsia="Calibri"/>
          <w:sz w:val="28"/>
          <w:szCs w:val="28"/>
          <w:lang w:eastAsia="en-US"/>
        </w:rPr>
        <w:t>63</w:t>
      </w:r>
      <w:r w:rsidR="00DD5C4E" w:rsidRPr="006A5EAD">
        <w:rPr>
          <w:rFonts w:eastAsia="Calibri"/>
          <w:sz w:val="28"/>
          <w:szCs w:val="28"/>
          <w:lang w:eastAsia="en-US"/>
        </w:rPr>
        <w:t>%</w:t>
      </w:r>
      <w:r w:rsidR="00222596" w:rsidRPr="006A5EAD">
        <w:rPr>
          <w:rFonts w:eastAsia="Calibri"/>
          <w:sz w:val="28"/>
          <w:szCs w:val="28"/>
          <w:lang w:eastAsia="en-US"/>
        </w:rPr>
        <w:t xml:space="preserve"> </w:t>
      </w:r>
      <w:r w:rsidR="00DD5C4E" w:rsidRPr="006A5EAD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845A6B" w:rsidRDefault="00845A6B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6A5EAD">
        <w:rPr>
          <w:sz w:val="28"/>
          <w:szCs w:val="28"/>
        </w:rPr>
        <w:t xml:space="preserve">Неконкурентным способом осуществления закупок являются закупки             </w:t>
      </w:r>
      <w:r w:rsidRPr="000B1DD0">
        <w:rPr>
          <w:sz w:val="28"/>
          <w:szCs w:val="28"/>
        </w:rPr>
        <w:t xml:space="preserve">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727E12">
        <w:rPr>
          <w:sz w:val="28"/>
          <w:szCs w:val="28"/>
        </w:rPr>
        <w:t>663,9</w:t>
      </w:r>
      <w:r w:rsidRPr="000B1DD0">
        <w:rPr>
          <w:sz w:val="28"/>
          <w:szCs w:val="28"/>
        </w:rPr>
        <w:t xml:space="preserve"> млн. рублей </w:t>
      </w:r>
      <w:r w:rsidRPr="006A5EAD">
        <w:rPr>
          <w:sz w:val="28"/>
          <w:szCs w:val="28"/>
        </w:rPr>
        <w:t>или</w:t>
      </w:r>
      <w:r w:rsidR="00967242" w:rsidRPr="006A5EAD">
        <w:rPr>
          <w:sz w:val="28"/>
          <w:szCs w:val="28"/>
        </w:rPr>
        <w:t xml:space="preserve"> </w:t>
      </w:r>
      <w:r w:rsidR="006A5EAD" w:rsidRPr="006A5EAD">
        <w:rPr>
          <w:sz w:val="28"/>
          <w:szCs w:val="28"/>
        </w:rPr>
        <w:t>31</w:t>
      </w:r>
      <w:r w:rsidRPr="006A5EAD">
        <w:rPr>
          <w:sz w:val="28"/>
          <w:szCs w:val="28"/>
        </w:rPr>
        <w:t>%</w:t>
      </w:r>
      <w:r w:rsidRPr="000B1DD0">
        <w:rPr>
          <w:sz w:val="28"/>
          <w:szCs w:val="28"/>
        </w:rPr>
        <w:t xml:space="preserve"> от суммы всех закупок.</w:t>
      </w:r>
    </w:p>
    <w:p w:rsidR="00845A6B" w:rsidRDefault="00845A6B" w:rsidP="006C1A8D">
      <w:pPr>
        <w:widowControl w:val="0"/>
        <w:ind w:firstLine="709"/>
        <w:jc w:val="both"/>
        <w:rPr>
          <w:sz w:val="28"/>
          <w:szCs w:val="28"/>
        </w:rPr>
      </w:pPr>
    </w:p>
    <w:p w:rsidR="006C1A8D" w:rsidRDefault="006C1A8D" w:rsidP="006C1A8D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t xml:space="preserve">на закупки малого объема – </w:t>
      </w:r>
      <w:r w:rsidR="00727E12">
        <w:rPr>
          <w:sz w:val="28"/>
          <w:szCs w:val="28"/>
        </w:rPr>
        <w:t>60</w:t>
      </w:r>
      <w:r w:rsidRPr="00D635D4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727E12">
        <w:rPr>
          <w:sz w:val="28"/>
          <w:szCs w:val="28"/>
        </w:rPr>
        <w:t>36</w:t>
      </w:r>
      <w:r w:rsidRPr="00D635D4">
        <w:rPr>
          <w:sz w:val="28"/>
          <w:szCs w:val="28"/>
        </w:rPr>
        <w:t xml:space="preserve">%, на остальные закупки приходится </w:t>
      </w:r>
      <w:r w:rsidR="00727E12">
        <w:rPr>
          <w:sz w:val="28"/>
          <w:szCs w:val="28"/>
        </w:rPr>
        <w:t>5</w:t>
      </w:r>
      <w:r w:rsidRPr="00D635D4">
        <w:rPr>
          <w:sz w:val="28"/>
          <w:szCs w:val="28"/>
        </w:rPr>
        <w:t>%.</w:t>
      </w:r>
    </w:p>
    <w:p w:rsidR="003C00E5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28"/>
        <w:gridCol w:w="1675"/>
        <w:gridCol w:w="2171"/>
      </w:tblGrid>
      <w:tr w:rsidR="00357BC7" w:rsidRPr="000B1DD0" w:rsidTr="006A5EAD">
        <w:trPr>
          <w:trHeight w:val="850"/>
          <w:jc w:val="center"/>
        </w:trPr>
        <w:tc>
          <w:tcPr>
            <w:tcW w:w="4284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Способ определения </w:t>
            </w:r>
          </w:p>
          <w:p w:rsidR="00577DC3" w:rsidRPr="002B0A8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поставщика (подрядчика, </w:t>
            </w:r>
            <w:r w:rsidR="003C00E5" w:rsidRPr="002B0A80">
              <w:t>и</w:t>
            </w:r>
            <w:r w:rsidRPr="002B0A80">
              <w:t>сполнителя)</w:t>
            </w:r>
          </w:p>
        </w:tc>
        <w:tc>
          <w:tcPr>
            <w:tcW w:w="1428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Количество </w:t>
            </w:r>
          </w:p>
          <w:p w:rsidR="00577DC3" w:rsidRPr="002B0A8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контрактов</w:t>
            </w:r>
            <w:r w:rsidR="00577DC3" w:rsidRPr="002B0A80">
              <w:t>, шт.</w:t>
            </w:r>
          </w:p>
        </w:tc>
        <w:tc>
          <w:tcPr>
            <w:tcW w:w="1675" w:type="dxa"/>
            <w:vAlign w:val="center"/>
          </w:tcPr>
          <w:p w:rsidR="00577DC3" w:rsidRPr="002B0A8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Объем закупок, млн. руб.</w:t>
            </w:r>
          </w:p>
        </w:tc>
        <w:tc>
          <w:tcPr>
            <w:tcW w:w="2171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Доля </w:t>
            </w:r>
          </w:p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от размещенного объема закупок</w:t>
            </w:r>
          </w:p>
        </w:tc>
      </w:tr>
      <w:tr w:rsidR="006F507B" w:rsidRPr="000B1DD0" w:rsidTr="00861545">
        <w:trPr>
          <w:trHeight w:val="463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Открытый конкурс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  <w:color w:val="000000"/>
              </w:rPr>
            </w:pPr>
            <w:r w:rsidRPr="006F507B">
              <w:rPr>
                <w:bCs/>
                <w:color w:val="000000"/>
              </w:rPr>
              <w:t xml:space="preserve">31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jc w:val="center"/>
            </w:pPr>
            <w:r>
              <w:t>5</w:t>
            </w:r>
            <w:r w:rsidRPr="002B0A80">
              <w:t>%</w:t>
            </w:r>
          </w:p>
        </w:tc>
      </w:tr>
      <w:tr w:rsidR="006F507B" w:rsidRPr="000B1DD0" w:rsidTr="00861545">
        <w:trPr>
          <w:trHeight w:val="417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Открытый аукцион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304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6F507B">
              <w:rPr>
                <w:bCs/>
              </w:rPr>
              <w:t>350</w:t>
            </w:r>
            <w:r>
              <w:rPr>
                <w:bCs/>
              </w:rPr>
              <w:t>,3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jc w:val="center"/>
            </w:pPr>
            <w:r>
              <w:t>63</w:t>
            </w:r>
            <w:r w:rsidRPr="002B0A80">
              <w:t>%</w:t>
            </w:r>
          </w:p>
        </w:tc>
      </w:tr>
      <w:tr w:rsidR="006F507B" w:rsidRPr="000B1DD0" w:rsidTr="00861545">
        <w:trPr>
          <w:trHeight w:val="409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Запрос котировок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96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2B0A80" w:rsidRDefault="006F507B" w:rsidP="006F507B">
            <w:pPr>
              <w:jc w:val="center"/>
            </w:pPr>
            <w:r>
              <w:t>1</w:t>
            </w:r>
            <w:r w:rsidRPr="002B0A80">
              <w:t>%</w:t>
            </w:r>
          </w:p>
        </w:tc>
      </w:tr>
      <w:tr w:rsidR="006F507B" w:rsidRPr="000B1DD0" w:rsidTr="00861545">
        <w:trPr>
          <w:trHeight w:val="556"/>
          <w:jc w:val="center"/>
        </w:trPr>
        <w:tc>
          <w:tcPr>
            <w:tcW w:w="4284" w:type="dxa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lastRenderedPageBreak/>
              <w:t xml:space="preserve">Итого конкурентными </w:t>
            </w:r>
          </w:p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способами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>
              <w:rPr>
                <w:bCs/>
              </w:rPr>
              <w:t>431</w:t>
            </w:r>
            <w:r w:rsidRPr="006F507B">
              <w:rPr>
                <w:bCs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6F507B">
              <w:rPr>
                <w:bCs/>
              </w:rPr>
              <w:t>486</w:t>
            </w:r>
            <w:r>
              <w:rPr>
                <w:bCs/>
              </w:rPr>
              <w:t>,7</w:t>
            </w:r>
            <w:r w:rsidRPr="006F507B">
              <w:rPr>
                <w:bCs/>
              </w:rPr>
              <w:t xml:space="preserve">  </w:t>
            </w:r>
          </w:p>
        </w:tc>
        <w:tc>
          <w:tcPr>
            <w:tcW w:w="2171" w:type="dxa"/>
            <w:vAlign w:val="center"/>
          </w:tcPr>
          <w:p w:rsidR="006F507B" w:rsidRPr="002B0A80" w:rsidRDefault="006F507B" w:rsidP="006F507B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  <w:r w:rsidRPr="002B0A80">
              <w:rPr>
                <w:bCs/>
              </w:rPr>
              <w:t>%</w:t>
            </w:r>
          </w:p>
        </w:tc>
      </w:tr>
      <w:tr w:rsidR="006F507B" w:rsidRPr="000B1DD0" w:rsidTr="00861545">
        <w:trPr>
          <w:trHeight w:val="143"/>
          <w:jc w:val="center"/>
        </w:trPr>
        <w:tc>
          <w:tcPr>
            <w:tcW w:w="4284" w:type="dxa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Единственный поставщик </w:t>
            </w:r>
          </w:p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(за исключением п. 4, 5, 25 ч.1 ст. 93 Закона о контрактной системе)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199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268</w:t>
            </w:r>
            <w:r>
              <w:rPr>
                <w:bCs/>
              </w:rPr>
              <w:t>,2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2B0A80" w:rsidRDefault="006F507B" w:rsidP="006F507B">
            <w:pPr>
              <w:widowControl w:val="0"/>
              <w:jc w:val="center"/>
            </w:pPr>
            <w:r>
              <w:t>13</w:t>
            </w:r>
            <w:r w:rsidRPr="002B0A80">
              <w:t>%</w:t>
            </w:r>
          </w:p>
        </w:tc>
      </w:tr>
      <w:tr w:rsidR="006F507B" w:rsidRPr="000B1DD0" w:rsidTr="00861545">
        <w:trPr>
          <w:trHeight w:val="410"/>
          <w:jc w:val="center"/>
        </w:trPr>
        <w:tc>
          <w:tcPr>
            <w:tcW w:w="4284" w:type="dxa"/>
            <w:vAlign w:val="center"/>
          </w:tcPr>
          <w:p w:rsidR="00845A6B" w:rsidRPr="002B0A80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Единственный поставщик </w:t>
            </w:r>
          </w:p>
          <w:p w:rsidR="00845A6B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(</w:t>
            </w:r>
            <w:r>
              <w:t xml:space="preserve">п. 4, 5 </w:t>
            </w:r>
            <w:r w:rsidRPr="002B0A80">
              <w:t xml:space="preserve">ч.1 ст. 93 </w:t>
            </w:r>
          </w:p>
          <w:p w:rsidR="006F507B" w:rsidRPr="002B0A80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Закона о контрактной системе)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6F507B">
              <w:rPr>
                <w:bCs/>
              </w:rPr>
              <w:t>419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  <w:rPr>
                <w:bCs/>
              </w:rPr>
            </w:pPr>
            <w:r w:rsidRPr="006F507B">
              <w:rPr>
                <w:bCs/>
              </w:rPr>
              <w:t>395</w:t>
            </w:r>
            <w:r>
              <w:rPr>
                <w:bCs/>
              </w:rPr>
              <w:t>,8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2B0A80" w:rsidRDefault="006F507B" w:rsidP="006F507B">
            <w:pPr>
              <w:widowControl w:val="0"/>
              <w:jc w:val="center"/>
            </w:pPr>
            <w:r>
              <w:t>18</w:t>
            </w:r>
            <w:r w:rsidRPr="002B0A80">
              <w:t>%</w:t>
            </w:r>
          </w:p>
        </w:tc>
      </w:tr>
      <w:tr w:rsidR="006F507B" w:rsidRPr="000B1DD0" w:rsidTr="006F507B">
        <w:trPr>
          <w:trHeight w:val="559"/>
          <w:jc w:val="center"/>
        </w:trPr>
        <w:tc>
          <w:tcPr>
            <w:tcW w:w="4284" w:type="dxa"/>
            <w:vAlign w:val="center"/>
          </w:tcPr>
          <w:p w:rsidR="006F507B" w:rsidRPr="002B0A80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ИТОГО по всем закупкам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</w:pPr>
            <w:r w:rsidRPr="006F507B">
              <w:t xml:space="preserve">5 049  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6F507B" w:rsidRDefault="006F507B" w:rsidP="006F507B">
            <w:pPr>
              <w:jc w:val="center"/>
            </w:pPr>
            <w:r w:rsidRPr="006F507B">
              <w:t>2</w:t>
            </w:r>
            <w:r>
              <w:t> </w:t>
            </w:r>
            <w:r w:rsidRPr="006F507B">
              <w:t>150</w:t>
            </w:r>
            <w:r>
              <w:t>,7</w:t>
            </w:r>
          </w:p>
        </w:tc>
        <w:tc>
          <w:tcPr>
            <w:tcW w:w="2171" w:type="dxa"/>
            <w:vAlign w:val="center"/>
          </w:tcPr>
          <w:p w:rsidR="006F507B" w:rsidRPr="002B0A80" w:rsidRDefault="006F507B" w:rsidP="006F507B">
            <w:pPr>
              <w:widowControl w:val="0"/>
              <w:jc w:val="center"/>
              <w:rPr>
                <w:bCs/>
              </w:rPr>
            </w:pPr>
            <w:r w:rsidRPr="002B0A80">
              <w:rPr>
                <w:bCs/>
              </w:rPr>
              <w:t>100%</w:t>
            </w:r>
          </w:p>
        </w:tc>
      </w:tr>
    </w:tbl>
    <w:p w:rsidR="00806C46" w:rsidRDefault="00806C46" w:rsidP="00B35F50">
      <w:pPr>
        <w:ind w:firstLine="709"/>
        <w:jc w:val="both"/>
        <w:rPr>
          <w:sz w:val="28"/>
          <w:szCs w:val="28"/>
        </w:rPr>
      </w:pPr>
    </w:p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</w:t>
      </w:r>
      <w:r w:rsidR="00AB0559">
        <w:rPr>
          <w:sz w:val="28"/>
          <w:szCs w:val="28"/>
        </w:rPr>
        <w:t>е</w:t>
      </w:r>
      <w:r w:rsidRPr="000B1DD0">
        <w:rPr>
          <w:sz w:val="28"/>
          <w:szCs w:val="28"/>
        </w:rPr>
        <w:t>тся обеспечение ко</w:t>
      </w:r>
      <w:r w:rsidR="00B6538D" w:rsidRPr="000B1DD0">
        <w:rPr>
          <w:sz w:val="28"/>
          <w:szCs w:val="28"/>
        </w:rPr>
        <w:t>нкуренции 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AB0559">
        <w:rPr>
          <w:rFonts w:eastAsia="Calibri"/>
          <w:sz w:val="28"/>
          <w:szCs w:val="28"/>
          <w:lang w:eastAsia="en-US"/>
        </w:rPr>
        <w:t xml:space="preserve"> участия в закупках </w:t>
      </w:r>
      <w:r w:rsidR="00890E66" w:rsidRPr="000B1DD0">
        <w:rPr>
          <w:rFonts w:eastAsia="Calibri"/>
          <w:sz w:val="28"/>
          <w:szCs w:val="28"/>
          <w:lang w:eastAsia="en-US"/>
        </w:rPr>
        <w:t>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</w:t>
      </w:r>
      <w:r w:rsidR="00265188">
        <w:rPr>
          <w:rFonts w:eastAsia="Calibri"/>
          <w:sz w:val="28"/>
          <w:szCs w:val="28"/>
          <w:lang w:eastAsia="en-US"/>
        </w:rPr>
        <w:t xml:space="preserve">за </w:t>
      </w:r>
      <w:r w:rsidR="008E35F8">
        <w:rPr>
          <w:rFonts w:eastAsia="Calibri"/>
          <w:sz w:val="28"/>
          <w:szCs w:val="28"/>
          <w:lang w:eastAsia="en-US"/>
        </w:rPr>
        <w:t>отчетный период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703F2E">
        <w:rPr>
          <w:rFonts w:eastAsia="Calibri"/>
          <w:sz w:val="28"/>
          <w:szCs w:val="28"/>
          <w:lang w:eastAsia="en-US"/>
        </w:rPr>
        <w:t>1 355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845A6B">
        <w:rPr>
          <w:rFonts w:eastAsia="Calibri"/>
          <w:sz w:val="28"/>
          <w:szCs w:val="28"/>
          <w:lang w:eastAsia="en-US"/>
        </w:rPr>
        <w:t>ок</w:t>
      </w:r>
      <w:r w:rsidR="003C5E64" w:rsidRPr="000B1DD0">
        <w:rPr>
          <w:rFonts w:eastAsia="Calibri"/>
          <w:sz w:val="28"/>
          <w:szCs w:val="28"/>
          <w:lang w:eastAsia="en-US"/>
        </w:rPr>
        <w:t>.</w:t>
      </w: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3528A3" w:rsidP="00E67424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800E3D">
        <w:rPr>
          <w:rFonts w:eastAsia="Calibri"/>
          <w:sz w:val="28"/>
          <w:szCs w:val="28"/>
          <w:lang w:eastAsia="en-US"/>
        </w:rPr>
        <w:t xml:space="preserve">В </w:t>
      </w:r>
      <w:r w:rsidR="00806C46">
        <w:rPr>
          <w:rFonts w:eastAsia="Calibri"/>
          <w:sz w:val="28"/>
          <w:szCs w:val="28"/>
          <w:lang w:eastAsia="en-US"/>
        </w:rPr>
        <w:t>1 полугодии</w:t>
      </w:r>
      <w:r w:rsidR="008E35F8">
        <w:rPr>
          <w:rFonts w:eastAsia="Calibri"/>
          <w:sz w:val="28"/>
          <w:szCs w:val="28"/>
          <w:lang w:eastAsia="en-US"/>
        </w:rPr>
        <w:t xml:space="preserve"> 2023 года</w:t>
      </w:r>
      <w:r w:rsidRPr="00800E3D">
        <w:rPr>
          <w:rFonts w:eastAsia="Calibri"/>
          <w:sz w:val="28"/>
          <w:szCs w:val="28"/>
          <w:lang w:eastAsia="en-US"/>
        </w:rPr>
        <w:t xml:space="preserve"> продолжена практика проведения совместных закупок,</w:t>
      </w:r>
      <w:r w:rsidR="008E35F8">
        <w:rPr>
          <w:rFonts w:eastAsia="Calibri"/>
          <w:sz w:val="28"/>
          <w:szCs w:val="28"/>
          <w:lang w:eastAsia="en-US"/>
        </w:rPr>
        <w:t xml:space="preserve"> </w:t>
      </w:r>
      <w:r w:rsidRPr="00800E3D">
        <w:rPr>
          <w:rFonts w:eastAsia="Calibri"/>
          <w:sz w:val="28"/>
          <w:szCs w:val="28"/>
          <w:lang w:eastAsia="en-US"/>
        </w:rPr>
        <w:t xml:space="preserve">по итогам </w:t>
      </w:r>
      <w:r w:rsidR="0051570C">
        <w:rPr>
          <w:rFonts w:eastAsia="Calibri"/>
          <w:sz w:val="28"/>
          <w:szCs w:val="28"/>
          <w:lang w:eastAsia="en-US"/>
        </w:rPr>
        <w:t>32</w:t>
      </w:r>
      <w:r w:rsidRPr="00800E3D">
        <w:rPr>
          <w:rFonts w:eastAsia="Calibri"/>
          <w:sz w:val="28"/>
          <w:szCs w:val="28"/>
          <w:lang w:eastAsia="en-US"/>
        </w:rPr>
        <w:t xml:space="preserve"> совместн</w:t>
      </w:r>
      <w:r>
        <w:rPr>
          <w:rFonts w:eastAsia="Calibri"/>
          <w:sz w:val="28"/>
          <w:szCs w:val="28"/>
          <w:lang w:eastAsia="en-US"/>
        </w:rPr>
        <w:t>ых</w:t>
      </w:r>
      <w:r w:rsidRPr="00800E3D">
        <w:rPr>
          <w:rFonts w:eastAsia="Calibri"/>
          <w:sz w:val="28"/>
          <w:szCs w:val="28"/>
          <w:lang w:eastAsia="en-US"/>
        </w:rPr>
        <w:t xml:space="preserve"> аукцион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и конкур</w:t>
      </w:r>
      <w:r>
        <w:rPr>
          <w:rFonts w:eastAsia="Calibri"/>
          <w:sz w:val="28"/>
          <w:szCs w:val="28"/>
          <w:lang w:eastAsia="en-US"/>
        </w:rPr>
        <w:t>сов</w:t>
      </w:r>
      <w:r w:rsidRPr="00800E3D">
        <w:rPr>
          <w:rFonts w:eastAsia="Calibri"/>
          <w:sz w:val="28"/>
          <w:szCs w:val="28"/>
          <w:lang w:eastAsia="en-US"/>
        </w:rPr>
        <w:t xml:space="preserve"> заключено </w:t>
      </w:r>
      <w:r w:rsidR="0051570C">
        <w:rPr>
          <w:rFonts w:eastAsia="Calibri"/>
          <w:sz w:val="28"/>
          <w:szCs w:val="28"/>
          <w:lang w:eastAsia="en-US"/>
        </w:rPr>
        <w:t xml:space="preserve">186 </w:t>
      </w:r>
      <w:r w:rsidRPr="00800E3D">
        <w:rPr>
          <w:rFonts w:eastAsia="Calibri"/>
          <w:sz w:val="28"/>
          <w:szCs w:val="28"/>
          <w:lang w:eastAsia="en-US"/>
        </w:rPr>
        <w:t>контракт</w:t>
      </w:r>
      <w:r w:rsidR="00703F2E"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сумму </w:t>
      </w:r>
      <w:r w:rsidR="00703F2E">
        <w:rPr>
          <w:rFonts w:eastAsia="Calibri"/>
          <w:sz w:val="28"/>
          <w:szCs w:val="28"/>
          <w:lang w:eastAsia="en-US"/>
        </w:rPr>
        <w:t xml:space="preserve">около </w:t>
      </w:r>
      <w:r w:rsidR="0051570C">
        <w:rPr>
          <w:rFonts w:eastAsia="Calibri"/>
          <w:sz w:val="28"/>
          <w:szCs w:val="28"/>
          <w:lang w:eastAsia="en-US"/>
        </w:rPr>
        <w:t>80</w:t>
      </w:r>
      <w:r w:rsidRPr="00800E3D">
        <w:rPr>
          <w:rFonts w:eastAsia="Calibri"/>
          <w:sz w:val="28"/>
          <w:szCs w:val="28"/>
          <w:lang w:eastAsia="en-US"/>
        </w:rPr>
        <w:t xml:space="preserve"> млн. рублей. </w:t>
      </w:r>
      <w:r w:rsidRPr="00980598">
        <w:rPr>
          <w:rFonts w:eastAsia="Calibri"/>
          <w:sz w:val="28"/>
          <w:szCs w:val="28"/>
          <w:lang w:eastAsia="en-US"/>
        </w:rPr>
        <w:t xml:space="preserve">Объектами закупок являлись: поставка продуктов питания </w:t>
      </w:r>
      <w:r w:rsidRPr="00980598">
        <w:rPr>
          <w:sz w:val="28"/>
          <w:szCs w:val="28"/>
        </w:rPr>
        <w:t>и организация питания образовательных учреждений</w:t>
      </w:r>
      <w:r w:rsidRPr="00980598">
        <w:rPr>
          <w:rFonts w:eastAsia="Calibri"/>
          <w:sz w:val="28"/>
          <w:szCs w:val="28"/>
          <w:lang w:eastAsia="en-US"/>
        </w:rPr>
        <w:t xml:space="preserve">, поставка </w:t>
      </w:r>
      <w:r w:rsidR="00EC6A82">
        <w:rPr>
          <w:rFonts w:eastAsia="Calibri"/>
          <w:sz w:val="28"/>
          <w:szCs w:val="28"/>
          <w:lang w:eastAsia="en-US"/>
        </w:rPr>
        <w:t xml:space="preserve">принтеров, </w:t>
      </w:r>
      <w:r w:rsidR="00E67424">
        <w:rPr>
          <w:rFonts w:eastAsia="Calibri"/>
          <w:sz w:val="28"/>
          <w:szCs w:val="28"/>
          <w:lang w:eastAsia="en-US"/>
        </w:rPr>
        <w:t xml:space="preserve">хозяйственных товаров, </w:t>
      </w:r>
      <w:r w:rsidRPr="00980598">
        <w:rPr>
          <w:rFonts w:eastAsia="Calibri"/>
          <w:sz w:val="28"/>
          <w:szCs w:val="28"/>
          <w:lang w:eastAsia="en-US"/>
        </w:rPr>
        <w:t xml:space="preserve">дезинфицирующих средств,  </w:t>
      </w:r>
      <w:r w:rsidR="00EC6A82">
        <w:rPr>
          <w:rFonts w:eastAsia="Calibri"/>
          <w:sz w:val="28"/>
          <w:szCs w:val="28"/>
          <w:lang w:eastAsia="en-US"/>
        </w:rPr>
        <w:t xml:space="preserve">мешков полимерных, </w:t>
      </w:r>
      <w:r w:rsidRPr="00980598">
        <w:rPr>
          <w:rFonts w:eastAsia="Calibri"/>
          <w:sz w:val="28"/>
          <w:szCs w:val="28"/>
          <w:lang w:eastAsia="en-US"/>
        </w:rPr>
        <w:t xml:space="preserve">бумаги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учреждений, оказание услуг по </w:t>
      </w:r>
      <w:r w:rsidRPr="0051570C">
        <w:rPr>
          <w:rFonts w:eastAsia="Calibri"/>
          <w:sz w:val="28"/>
          <w:szCs w:val="28"/>
          <w:lang w:eastAsia="en-US"/>
        </w:rPr>
        <w:t>охране муниципальных бюджетных общеобразовательных учреждений</w:t>
      </w:r>
      <w:r w:rsidR="00E67424" w:rsidRPr="0051570C">
        <w:rPr>
          <w:rFonts w:eastAsia="Calibri"/>
          <w:sz w:val="28"/>
          <w:szCs w:val="28"/>
          <w:lang w:eastAsia="en-US"/>
        </w:rPr>
        <w:t xml:space="preserve">, </w:t>
      </w:r>
      <w:r w:rsidR="00E67424" w:rsidRPr="0051570C">
        <w:rPr>
          <w:sz w:val="28"/>
          <w:szCs w:val="28"/>
        </w:rPr>
        <w:t xml:space="preserve"> </w:t>
      </w:r>
      <w:r w:rsidR="0051570C" w:rsidRPr="0051570C">
        <w:rPr>
          <w:sz w:val="28"/>
          <w:szCs w:val="28"/>
        </w:rPr>
        <w:t>услуг по перевозке организованных групп детей муниципальных бюджетных общеобразовательных учреждений</w:t>
      </w:r>
      <w:r w:rsidR="00E67424" w:rsidRPr="0051570C">
        <w:rPr>
          <w:rFonts w:eastAsia="Calibri"/>
          <w:sz w:val="28"/>
          <w:szCs w:val="28"/>
          <w:lang w:eastAsia="en-US"/>
        </w:rPr>
        <w:t>.</w:t>
      </w:r>
      <w:r w:rsidR="00EC6A82">
        <w:rPr>
          <w:rFonts w:eastAsia="Calibri"/>
          <w:sz w:val="28"/>
          <w:szCs w:val="28"/>
          <w:lang w:eastAsia="en-US"/>
        </w:rPr>
        <w:t xml:space="preserve"> </w:t>
      </w:r>
    </w:p>
    <w:p w:rsidR="008E26F5" w:rsidRDefault="008E26F5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Default="00AB0559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845A6B" w:rsidRDefault="00845A6B" w:rsidP="00B35F5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8384A" w:rsidRPr="00AD7DEF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lastRenderedPageBreak/>
        <w:t>об осуществлении закупок у субъектов малого предпринимательства, социально ориентированных некоммерческих организаций (далее – СМП, СОН</w:t>
      </w:r>
      <w:r w:rsidR="0038593E">
        <w:rPr>
          <w:sz w:val="28"/>
          <w:szCs w:val="28"/>
        </w:rPr>
        <w:t>К</w:t>
      </w:r>
      <w:r w:rsidRPr="000B1DD0">
        <w:rPr>
          <w:sz w:val="28"/>
          <w:szCs w:val="28"/>
        </w:rPr>
        <w:t xml:space="preserve">О) в объеме </w:t>
      </w:r>
      <w:r w:rsidRPr="00AD7DEF">
        <w:rPr>
          <w:sz w:val="28"/>
          <w:szCs w:val="28"/>
        </w:rPr>
        <w:t xml:space="preserve">не менее </w:t>
      </w:r>
      <w:r w:rsidR="00E57B89" w:rsidRPr="00AD7DEF">
        <w:rPr>
          <w:sz w:val="28"/>
          <w:szCs w:val="28"/>
        </w:rPr>
        <w:t>25</w:t>
      </w:r>
      <w:r w:rsidRPr="00AD7DEF">
        <w:rPr>
          <w:sz w:val="28"/>
          <w:szCs w:val="28"/>
        </w:rPr>
        <w:t>% совок</w:t>
      </w:r>
      <w:r w:rsidR="0028384A" w:rsidRPr="00AD7DEF">
        <w:rPr>
          <w:sz w:val="28"/>
          <w:szCs w:val="28"/>
        </w:rPr>
        <w:t xml:space="preserve">упного годового объема закупок.  </w:t>
      </w:r>
    </w:p>
    <w:p w:rsidR="00E57B89" w:rsidRPr="0051570C" w:rsidRDefault="0051570C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70C">
        <w:rPr>
          <w:sz w:val="28"/>
          <w:szCs w:val="28"/>
        </w:rPr>
        <w:t xml:space="preserve">За 1 полугодие 2023 года с субъектами малого предпринимательства заключено 486 контрактов (в том числе по результатам закупок, заседания по которым прошли в </w:t>
      </w:r>
      <w:r w:rsidRPr="0051570C">
        <w:rPr>
          <w:sz w:val="28"/>
          <w:szCs w:val="28"/>
          <w:lang w:val="en-US"/>
        </w:rPr>
        <w:t>IV</w:t>
      </w:r>
      <w:r w:rsidRPr="0051570C">
        <w:rPr>
          <w:sz w:val="28"/>
          <w:szCs w:val="28"/>
        </w:rPr>
        <w:t xml:space="preserve"> квартале 2022 года) на общую сумму 765,89 млн. рублей, что составляет 28% от совокупного годового объема закупок на 2023 год в размере 2 772,3 млн. рублей</w:t>
      </w:r>
      <w:r w:rsidR="00B021A8" w:rsidRPr="0051570C">
        <w:rPr>
          <w:sz w:val="28"/>
          <w:szCs w:val="28"/>
        </w:rPr>
        <w:t>.</w:t>
      </w:r>
    </w:p>
    <w:p w:rsidR="000631E9" w:rsidRDefault="007A0224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A4C44" w:rsidRPr="00B14BF9">
        <w:rPr>
          <w:sz w:val="28"/>
          <w:szCs w:val="28"/>
        </w:rPr>
        <w:t xml:space="preserve"> </w:t>
      </w:r>
      <w:r w:rsidR="0051570C">
        <w:rPr>
          <w:sz w:val="28"/>
          <w:szCs w:val="28"/>
        </w:rPr>
        <w:t>29</w:t>
      </w:r>
      <w:r w:rsidR="00FA4C44" w:rsidRPr="00B14BF9">
        <w:rPr>
          <w:sz w:val="28"/>
          <w:szCs w:val="28"/>
        </w:rPr>
        <w:t xml:space="preserve"> конкурентн</w:t>
      </w:r>
      <w:r w:rsidR="00845A6B">
        <w:rPr>
          <w:sz w:val="28"/>
          <w:szCs w:val="28"/>
        </w:rPr>
        <w:t>ым</w:t>
      </w:r>
      <w:r w:rsidR="00FA4C44" w:rsidRPr="00B14BF9">
        <w:rPr>
          <w:sz w:val="28"/>
          <w:szCs w:val="28"/>
        </w:rPr>
        <w:t xml:space="preserve"> закупк</w:t>
      </w:r>
      <w:r w:rsidR="00845A6B">
        <w:rPr>
          <w:sz w:val="28"/>
          <w:szCs w:val="28"/>
        </w:rPr>
        <w:t>ам</w:t>
      </w:r>
      <w:r w:rsidR="00FA4C44" w:rsidRPr="00B14BF9">
        <w:rPr>
          <w:sz w:val="28"/>
          <w:szCs w:val="28"/>
        </w:rPr>
        <w:t xml:space="preserve"> предусматривались преимущества организациям инвалидов</w:t>
      </w:r>
      <w:r w:rsidR="0051570C">
        <w:rPr>
          <w:sz w:val="28"/>
          <w:szCs w:val="28"/>
        </w:rPr>
        <w:t>, из них 4</w:t>
      </w:r>
      <w:r w:rsidR="000631E9">
        <w:rPr>
          <w:sz w:val="28"/>
          <w:szCs w:val="28"/>
        </w:rPr>
        <w:t xml:space="preserve"> контракта </w:t>
      </w:r>
      <w:r w:rsidR="0051570C">
        <w:rPr>
          <w:sz w:val="28"/>
          <w:szCs w:val="28"/>
        </w:rPr>
        <w:t>заключены</w:t>
      </w:r>
      <w:r w:rsidR="000055A3">
        <w:rPr>
          <w:sz w:val="28"/>
          <w:szCs w:val="28"/>
        </w:rPr>
        <w:t xml:space="preserve"> с такими организациями по </w:t>
      </w:r>
      <w:r w:rsidR="00B475AD">
        <w:rPr>
          <w:sz w:val="28"/>
          <w:szCs w:val="28"/>
        </w:rPr>
        <w:t>цен</w:t>
      </w:r>
      <w:r w:rsidR="000055A3">
        <w:rPr>
          <w:sz w:val="28"/>
          <w:szCs w:val="28"/>
        </w:rPr>
        <w:t xml:space="preserve">е </w:t>
      </w:r>
      <w:r w:rsidR="00B475AD">
        <w:rPr>
          <w:sz w:val="28"/>
          <w:szCs w:val="28"/>
        </w:rPr>
        <w:t>контракта</w:t>
      </w:r>
      <w:r w:rsidR="00845A6B">
        <w:rPr>
          <w:sz w:val="28"/>
          <w:szCs w:val="28"/>
        </w:rPr>
        <w:t>,</w:t>
      </w:r>
      <w:r w:rsidR="00B475AD">
        <w:rPr>
          <w:sz w:val="28"/>
          <w:szCs w:val="28"/>
        </w:rPr>
        <w:t xml:space="preserve"> увеличенной на 15%.</w:t>
      </w:r>
      <w:r w:rsidR="000631E9">
        <w:rPr>
          <w:sz w:val="28"/>
          <w:szCs w:val="28"/>
        </w:rPr>
        <w:t xml:space="preserve"> </w:t>
      </w:r>
    </w:p>
    <w:p w:rsidR="00FA4C44" w:rsidRDefault="000631E9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0224">
        <w:rPr>
          <w:sz w:val="28"/>
          <w:szCs w:val="28"/>
        </w:rPr>
        <w:t>о</w:t>
      </w:r>
      <w:r w:rsidR="00FA4C44" w:rsidRPr="00B14BF9">
        <w:rPr>
          <w:sz w:val="28"/>
          <w:szCs w:val="28"/>
        </w:rPr>
        <w:t xml:space="preserve"> </w:t>
      </w:r>
      <w:r w:rsidR="00E67424">
        <w:rPr>
          <w:sz w:val="28"/>
          <w:szCs w:val="28"/>
        </w:rPr>
        <w:t>1</w:t>
      </w:r>
      <w:r w:rsidR="0051570C">
        <w:rPr>
          <w:sz w:val="28"/>
          <w:szCs w:val="28"/>
        </w:rPr>
        <w:t>6</w:t>
      </w:r>
      <w:r w:rsidR="00FA4C44" w:rsidRPr="00B14BF9">
        <w:rPr>
          <w:sz w:val="28"/>
          <w:szCs w:val="28"/>
        </w:rPr>
        <w:t xml:space="preserve"> </w:t>
      </w:r>
      <w:r w:rsidRPr="00B14BF9">
        <w:rPr>
          <w:sz w:val="28"/>
          <w:szCs w:val="28"/>
        </w:rPr>
        <w:t>конкурентн</w:t>
      </w:r>
      <w:r w:rsidR="00845A6B">
        <w:rPr>
          <w:sz w:val="28"/>
          <w:szCs w:val="28"/>
        </w:rPr>
        <w:t>ым</w:t>
      </w:r>
      <w:r w:rsidRPr="00B14BF9">
        <w:rPr>
          <w:sz w:val="28"/>
          <w:szCs w:val="28"/>
        </w:rPr>
        <w:t xml:space="preserve"> закупк</w:t>
      </w:r>
      <w:r w:rsidR="00845A6B">
        <w:rPr>
          <w:sz w:val="28"/>
          <w:szCs w:val="28"/>
        </w:rPr>
        <w:t>ам</w:t>
      </w:r>
      <w:r w:rsidRPr="00B14BF9">
        <w:rPr>
          <w:sz w:val="28"/>
          <w:szCs w:val="28"/>
        </w:rPr>
        <w:t xml:space="preserve"> предусматрив</w:t>
      </w:r>
      <w:r>
        <w:rPr>
          <w:sz w:val="28"/>
          <w:szCs w:val="28"/>
        </w:rPr>
        <w:t>алось</w:t>
      </w:r>
      <w:r w:rsidR="00FA4C44" w:rsidRPr="00B14BF9">
        <w:rPr>
          <w:sz w:val="28"/>
          <w:szCs w:val="28"/>
        </w:rPr>
        <w:t xml:space="preserve"> преимущество учреждениям уголовно-исполнительной системы. По этим закупкам преимущества не предоставлялись в связи с отсут</w:t>
      </w:r>
      <w:r>
        <w:rPr>
          <w:sz w:val="28"/>
          <w:szCs w:val="28"/>
        </w:rPr>
        <w:t xml:space="preserve">ствием заявок, поданных такими </w:t>
      </w:r>
      <w:r w:rsidR="00FA4C44" w:rsidRPr="00B14BF9">
        <w:rPr>
          <w:sz w:val="28"/>
          <w:szCs w:val="28"/>
        </w:rPr>
        <w:t xml:space="preserve">учреждениями.  </w:t>
      </w:r>
    </w:p>
    <w:p w:rsidR="002B0A80" w:rsidRPr="00B14BF9" w:rsidRDefault="00A833B6" w:rsidP="002B0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B475AD">
        <w:rPr>
          <w:sz w:val="28"/>
          <w:szCs w:val="28"/>
        </w:rPr>
        <w:t>дошкольными</w:t>
      </w:r>
      <w:r>
        <w:rPr>
          <w:sz w:val="28"/>
          <w:szCs w:val="28"/>
        </w:rPr>
        <w:t xml:space="preserve"> </w:t>
      </w:r>
      <w:r w:rsidR="00B475AD">
        <w:rPr>
          <w:sz w:val="28"/>
          <w:szCs w:val="28"/>
        </w:rPr>
        <w:t>образовательными</w:t>
      </w:r>
      <w:r w:rsidR="002B0A80">
        <w:rPr>
          <w:sz w:val="28"/>
          <w:szCs w:val="28"/>
        </w:rPr>
        <w:t xml:space="preserve"> </w:t>
      </w:r>
      <w:r w:rsidR="002B0A80" w:rsidRPr="00B14BF9">
        <w:rPr>
          <w:sz w:val="28"/>
          <w:szCs w:val="28"/>
        </w:rPr>
        <w:t>учреждени</w:t>
      </w:r>
      <w:r w:rsidR="00B475AD">
        <w:rPr>
          <w:sz w:val="28"/>
          <w:szCs w:val="28"/>
        </w:rPr>
        <w:t>ями</w:t>
      </w:r>
      <w:r w:rsidR="002B0A80" w:rsidRPr="00B14BF9">
        <w:rPr>
          <w:sz w:val="28"/>
          <w:szCs w:val="28"/>
        </w:rPr>
        <w:t xml:space="preserve"> бы</w:t>
      </w:r>
      <w:r w:rsidR="00B475AD">
        <w:rPr>
          <w:sz w:val="28"/>
          <w:szCs w:val="28"/>
        </w:rPr>
        <w:t>ло</w:t>
      </w:r>
      <w:r w:rsidR="002B0A80" w:rsidRPr="00B14BF9">
        <w:rPr>
          <w:sz w:val="28"/>
          <w:szCs w:val="28"/>
        </w:rPr>
        <w:t xml:space="preserve"> заключен</w:t>
      </w:r>
      <w:r w:rsidR="00B475AD">
        <w:rPr>
          <w:sz w:val="28"/>
          <w:szCs w:val="28"/>
        </w:rPr>
        <w:t>о 5</w:t>
      </w:r>
      <w:r w:rsidR="002B0A80" w:rsidRPr="00B14BF9">
        <w:rPr>
          <w:sz w:val="28"/>
          <w:szCs w:val="28"/>
        </w:rPr>
        <w:t xml:space="preserve"> контракт</w:t>
      </w:r>
      <w:r w:rsidR="00B475AD">
        <w:rPr>
          <w:sz w:val="28"/>
          <w:szCs w:val="28"/>
        </w:rPr>
        <w:t>ов</w:t>
      </w:r>
      <w:r w:rsidR="002B0A80">
        <w:rPr>
          <w:sz w:val="28"/>
          <w:szCs w:val="28"/>
        </w:rPr>
        <w:t xml:space="preserve"> </w:t>
      </w:r>
      <w:r w:rsidR="002B0A80" w:rsidRPr="00B14BF9">
        <w:rPr>
          <w:sz w:val="28"/>
          <w:szCs w:val="28"/>
        </w:rPr>
        <w:t>с единственным</w:t>
      </w:r>
      <w:r w:rsidR="00B475AD">
        <w:rPr>
          <w:sz w:val="28"/>
          <w:szCs w:val="28"/>
        </w:rPr>
        <w:t>и</w:t>
      </w:r>
      <w:r w:rsidR="002B0A80" w:rsidRPr="00B14BF9">
        <w:rPr>
          <w:sz w:val="28"/>
          <w:szCs w:val="28"/>
        </w:rPr>
        <w:t xml:space="preserve"> </w:t>
      </w:r>
      <w:r w:rsidR="002B0A80" w:rsidRPr="008673E5">
        <w:rPr>
          <w:sz w:val="28"/>
          <w:szCs w:val="28"/>
        </w:rPr>
        <w:t>поставщик</w:t>
      </w:r>
      <w:r w:rsidR="00B475AD">
        <w:rPr>
          <w:sz w:val="28"/>
          <w:szCs w:val="28"/>
        </w:rPr>
        <w:t>ами</w:t>
      </w:r>
      <w:r w:rsidR="002B0A80">
        <w:rPr>
          <w:sz w:val="28"/>
          <w:szCs w:val="28"/>
        </w:rPr>
        <w:t>,</w:t>
      </w:r>
      <w:r w:rsidR="002B0A80" w:rsidRPr="008673E5">
        <w:rPr>
          <w:sz w:val="28"/>
          <w:szCs w:val="28"/>
        </w:rPr>
        <w:t xml:space="preserve"> являющим</w:t>
      </w:r>
      <w:r w:rsidR="00B475AD">
        <w:rPr>
          <w:sz w:val="28"/>
          <w:szCs w:val="28"/>
        </w:rPr>
        <w:t>и</w:t>
      </w:r>
      <w:r w:rsidR="002B0A80" w:rsidRPr="008673E5">
        <w:rPr>
          <w:sz w:val="28"/>
          <w:szCs w:val="28"/>
        </w:rPr>
        <w:t>ся учреждени</w:t>
      </w:r>
      <w:r w:rsidR="00B475AD">
        <w:rPr>
          <w:sz w:val="28"/>
          <w:szCs w:val="28"/>
        </w:rPr>
        <w:t>ями</w:t>
      </w:r>
      <w:r w:rsidR="002B0A80" w:rsidRPr="008673E5">
        <w:rPr>
          <w:sz w:val="28"/>
          <w:szCs w:val="28"/>
        </w:rPr>
        <w:t xml:space="preserve"> или предприяти</w:t>
      </w:r>
      <w:r w:rsidR="00B475AD">
        <w:rPr>
          <w:sz w:val="28"/>
          <w:szCs w:val="28"/>
        </w:rPr>
        <w:t>ями</w:t>
      </w:r>
      <w:r w:rsidR="002B0A80" w:rsidRPr="008673E5">
        <w:rPr>
          <w:sz w:val="28"/>
          <w:szCs w:val="28"/>
        </w:rPr>
        <w:t xml:space="preserve"> уголовно-исполнительной </w:t>
      </w:r>
      <w:hyperlink r:id="rId15" w:history="1">
        <w:r w:rsidR="002B0A80" w:rsidRPr="008673E5">
          <w:rPr>
            <w:sz w:val="28"/>
            <w:szCs w:val="28"/>
          </w:rPr>
          <w:t>системы</w:t>
        </w:r>
      </w:hyperlink>
      <w:r w:rsidR="002B0A80">
        <w:rPr>
          <w:sz w:val="28"/>
          <w:szCs w:val="28"/>
        </w:rPr>
        <w:t>,</w:t>
      </w:r>
      <w:r w:rsidR="002B0A80" w:rsidRPr="008673E5">
        <w:rPr>
          <w:sz w:val="28"/>
          <w:szCs w:val="28"/>
        </w:rPr>
        <w:t xml:space="preserve"> на поставку </w:t>
      </w:r>
      <w:r w:rsidR="002B0A80">
        <w:rPr>
          <w:sz w:val="28"/>
          <w:szCs w:val="28"/>
        </w:rPr>
        <w:t xml:space="preserve">продукции швейного производства на общую сумму </w:t>
      </w:r>
      <w:r w:rsidR="00B475AD">
        <w:rPr>
          <w:sz w:val="28"/>
          <w:szCs w:val="28"/>
        </w:rPr>
        <w:t>22</w:t>
      </w:r>
      <w:r w:rsidR="00120F66">
        <w:rPr>
          <w:sz w:val="28"/>
          <w:szCs w:val="28"/>
        </w:rPr>
        <w:t>6</w:t>
      </w:r>
      <w:r w:rsidR="00B475AD">
        <w:rPr>
          <w:sz w:val="28"/>
          <w:szCs w:val="28"/>
        </w:rPr>
        <w:t>,5</w:t>
      </w:r>
      <w:r w:rsidR="002B0A80" w:rsidRPr="00B14BF9">
        <w:rPr>
          <w:sz w:val="28"/>
          <w:szCs w:val="28"/>
        </w:rPr>
        <w:t xml:space="preserve"> тыс. рублей</w:t>
      </w:r>
      <w:r w:rsidR="002B0A80">
        <w:rPr>
          <w:sz w:val="28"/>
          <w:szCs w:val="28"/>
        </w:rPr>
        <w:t>.</w:t>
      </w:r>
      <w:r w:rsidR="002B0A80" w:rsidRPr="00B14BF9">
        <w:rPr>
          <w:sz w:val="28"/>
          <w:szCs w:val="28"/>
        </w:rPr>
        <w:t xml:space="preserve"> </w:t>
      </w:r>
    </w:p>
    <w:p w:rsidR="002B0A80" w:rsidRDefault="002B0A80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</w:t>
      </w:r>
      <w:r w:rsidR="0038593E">
        <w:rPr>
          <w:i/>
          <w:sz w:val="28"/>
          <w:szCs w:val="28"/>
        </w:rPr>
        <w:t>о</w:t>
      </w:r>
      <w:r w:rsidR="00655E60" w:rsidRPr="000B1DD0">
        <w:rPr>
          <w:i/>
          <w:sz w:val="28"/>
          <w:szCs w:val="28"/>
        </w:rPr>
        <w:t>ставленным Заказчиками)</w:t>
      </w: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A10073">
        <w:rPr>
          <w:sz w:val="28"/>
          <w:szCs w:val="28"/>
        </w:rPr>
        <w:t>5 049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A10073">
        <w:rPr>
          <w:sz w:val="28"/>
          <w:szCs w:val="28"/>
        </w:rPr>
        <w:t>ов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A10073">
        <w:rPr>
          <w:sz w:val="28"/>
          <w:szCs w:val="28"/>
        </w:rPr>
        <w:t>2 011,0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A10073">
        <w:rPr>
          <w:sz w:val="28"/>
          <w:szCs w:val="28"/>
        </w:rPr>
        <w:t>451</w:t>
      </w:r>
      <w:r w:rsidR="00F05DA7" w:rsidRPr="000B1DD0">
        <w:rPr>
          <w:sz w:val="28"/>
          <w:szCs w:val="28"/>
        </w:rPr>
        <w:t xml:space="preserve"> контракт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A10073">
        <w:rPr>
          <w:sz w:val="28"/>
          <w:szCs w:val="28"/>
        </w:rPr>
        <w:t>1 347,1</w:t>
      </w:r>
      <w:r w:rsidR="00B62472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>млн. руб.</w:t>
      </w:r>
      <w:r w:rsidR="00B14BF9">
        <w:rPr>
          <w:sz w:val="28"/>
          <w:szCs w:val="28"/>
        </w:rPr>
        <w:t xml:space="preserve"> </w:t>
      </w:r>
    </w:p>
    <w:p w:rsidR="00B35F50" w:rsidRPr="000B1DD0" w:rsidRDefault="00B35F50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8E1830" w:rsidP="00A10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</w:t>
            </w:r>
            <w:r w:rsidR="000A7E15">
              <w:t xml:space="preserve">1 </w:t>
            </w:r>
            <w:r w:rsidR="00A10073">
              <w:t xml:space="preserve">полугодие </w:t>
            </w:r>
            <w:r w:rsidR="004014C3" w:rsidRPr="00357BC7">
              <w:t>202</w:t>
            </w:r>
            <w:r w:rsidR="000A7E15">
              <w:t>3</w:t>
            </w:r>
            <w:r w:rsidR="00A613AE">
              <w:t xml:space="preserve"> </w:t>
            </w:r>
            <w:r w:rsidR="004014C3" w:rsidRPr="00357BC7">
              <w:t>год</w:t>
            </w:r>
            <w:r w:rsidR="00A613AE"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10073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357BC7" w:rsidRDefault="00A10073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10073" w:rsidP="005A59A7">
            <w:pPr>
              <w:widowControl w:val="0"/>
              <w:jc w:val="center"/>
            </w:pPr>
            <w:r>
              <w:t>304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10073" w:rsidP="00D44D62">
            <w:pPr>
              <w:widowControl w:val="0"/>
              <w:jc w:val="center"/>
            </w:pPr>
            <w:r>
              <w:t>1 216,3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10073" w:rsidP="009C100D">
            <w:pPr>
              <w:widowControl w:val="0"/>
              <w:jc w:val="center"/>
            </w:pPr>
            <w:r>
              <w:t>96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10073" w:rsidP="003A00F0">
            <w:pPr>
              <w:widowControl w:val="0"/>
              <w:jc w:val="center"/>
            </w:pPr>
            <w:r>
              <w:t>23,7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10073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4 618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10073" w:rsidP="000A7E1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663,9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A10073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5 049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A10073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2 011,0</w:t>
            </w:r>
          </w:p>
        </w:tc>
      </w:tr>
    </w:tbl>
    <w:p w:rsidR="006C1A8D" w:rsidRDefault="006C1A8D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BF0646">
        <w:rPr>
          <w:sz w:val="28"/>
          <w:szCs w:val="28"/>
        </w:rPr>
        <w:t xml:space="preserve">1 </w:t>
      </w:r>
      <w:r w:rsidR="00274CAF">
        <w:rPr>
          <w:sz w:val="28"/>
          <w:szCs w:val="28"/>
        </w:rPr>
        <w:t>полугодие</w:t>
      </w:r>
      <w:r w:rsidR="00BF0646">
        <w:rPr>
          <w:sz w:val="28"/>
          <w:szCs w:val="28"/>
        </w:rPr>
        <w:t xml:space="preserve"> </w:t>
      </w:r>
      <w:r w:rsidR="00D43C62" w:rsidRPr="00357BC7">
        <w:rPr>
          <w:sz w:val="28"/>
          <w:szCs w:val="28"/>
        </w:rPr>
        <w:t>202</w:t>
      </w:r>
      <w:r w:rsidR="00BF0646">
        <w:rPr>
          <w:sz w:val="28"/>
          <w:szCs w:val="28"/>
        </w:rPr>
        <w:t>3</w:t>
      </w:r>
      <w:r w:rsidR="00D43C62" w:rsidRPr="00357BC7">
        <w:rPr>
          <w:sz w:val="28"/>
          <w:szCs w:val="28"/>
        </w:rPr>
        <w:t xml:space="preserve"> год</w:t>
      </w:r>
      <w:r w:rsidR="00BF0646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274CAF">
        <w:rPr>
          <w:sz w:val="28"/>
          <w:szCs w:val="28"/>
        </w:rPr>
        <w:t>139,6</w:t>
      </w:r>
      <w:r w:rsidRPr="00357BC7">
        <w:rPr>
          <w:sz w:val="28"/>
          <w:szCs w:val="28"/>
        </w:rPr>
        <w:t xml:space="preserve"> млн. рублей или </w:t>
      </w:r>
      <w:r w:rsidR="00274CAF">
        <w:rPr>
          <w:sz w:val="28"/>
          <w:szCs w:val="28"/>
        </w:rPr>
        <w:t>9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="00845A6B">
        <w:rPr>
          <w:sz w:val="28"/>
          <w:szCs w:val="28"/>
        </w:rPr>
        <w:t xml:space="preserve"> (за 1 полугодие 2022 года – 91,9 млн. руб. или 2,8%)</w:t>
      </w:r>
      <w:r w:rsidR="004A0B5C">
        <w:rPr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lastRenderedPageBreak/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A10073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A10073" w:rsidRPr="00357BC7" w:rsidRDefault="00A10073" w:rsidP="00A10073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73" w:rsidRPr="006F507B" w:rsidRDefault="00A10073" w:rsidP="00A100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10073" w:rsidRPr="00357BC7" w:rsidRDefault="00A10073" w:rsidP="00A100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  <w:tc>
          <w:tcPr>
            <w:tcW w:w="2189" w:type="dxa"/>
            <w:vAlign w:val="center"/>
          </w:tcPr>
          <w:p w:rsidR="00A10073" w:rsidRPr="00357BC7" w:rsidRDefault="00A10073" w:rsidP="00A100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1,2</w:t>
            </w:r>
          </w:p>
        </w:tc>
      </w:tr>
      <w:tr w:rsidR="00A10073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A10073" w:rsidRPr="00357BC7" w:rsidRDefault="00A10073" w:rsidP="00A100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73" w:rsidRPr="006F507B" w:rsidRDefault="00A10073" w:rsidP="00A10073">
            <w:pPr>
              <w:jc w:val="center"/>
              <w:rPr>
                <w:bCs/>
              </w:rPr>
            </w:pPr>
            <w:r w:rsidRPr="006F507B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6F507B">
              <w:rPr>
                <w:bCs/>
              </w:rPr>
              <w:t>350</w:t>
            </w:r>
            <w:r>
              <w:rPr>
                <w:bCs/>
              </w:rPr>
              <w:t>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10073" w:rsidRPr="00357BC7" w:rsidRDefault="00A10073" w:rsidP="00A10073">
            <w:pPr>
              <w:widowControl w:val="0"/>
              <w:jc w:val="center"/>
            </w:pPr>
            <w:r>
              <w:t>1 216,3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10073" w:rsidRPr="00357BC7" w:rsidRDefault="00A10073" w:rsidP="00A10073">
            <w:pPr>
              <w:widowControl w:val="0"/>
              <w:jc w:val="center"/>
            </w:pPr>
            <w:r>
              <w:t>134,0</w:t>
            </w:r>
          </w:p>
        </w:tc>
      </w:tr>
      <w:tr w:rsidR="00A10073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A10073" w:rsidRPr="00357BC7" w:rsidRDefault="00A10073" w:rsidP="00A100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73" w:rsidRPr="006F507B" w:rsidRDefault="00A10073" w:rsidP="00A10073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10073" w:rsidRPr="00357BC7" w:rsidRDefault="00A10073" w:rsidP="00A10073">
            <w:pPr>
              <w:widowControl w:val="0"/>
              <w:jc w:val="center"/>
            </w:pPr>
            <w:r>
              <w:t>23,7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10073" w:rsidRPr="00357BC7" w:rsidRDefault="00A10073" w:rsidP="00A10073">
            <w:pPr>
              <w:widowControl w:val="0"/>
              <w:jc w:val="center"/>
            </w:pPr>
            <w:r>
              <w:t>4,4</w:t>
            </w:r>
          </w:p>
        </w:tc>
      </w:tr>
      <w:tr w:rsidR="00BF0646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BF0646" w:rsidRPr="00357BC7" w:rsidRDefault="00BF0646" w:rsidP="00BF06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BF0646" w:rsidRPr="00BF0646" w:rsidRDefault="00A10073" w:rsidP="00BF0646">
            <w:pPr>
              <w:jc w:val="center"/>
              <w:rPr>
                <w:bCs/>
              </w:rPr>
            </w:pPr>
            <w:r>
              <w:rPr>
                <w:bCs/>
              </w:rPr>
              <w:t>1 486,7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0646" w:rsidRPr="00357BC7" w:rsidRDefault="00A10073" w:rsidP="00BF0646">
            <w:pPr>
              <w:widowControl w:val="0"/>
              <w:jc w:val="center"/>
            </w:pPr>
            <w:r>
              <w:t>1 347,1</w:t>
            </w:r>
          </w:p>
        </w:tc>
        <w:tc>
          <w:tcPr>
            <w:tcW w:w="2189" w:type="dxa"/>
            <w:vAlign w:val="center"/>
          </w:tcPr>
          <w:p w:rsidR="00BF0646" w:rsidRPr="00357BC7" w:rsidRDefault="00A10073" w:rsidP="00BF0646">
            <w:pPr>
              <w:widowControl w:val="0"/>
              <w:jc w:val="center"/>
            </w:pPr>
            <w:r>
              <w:t>139,6</w:t>
            </w:r>
          </w:p>
        </w:tc>
      </w:tr>
    </w:tbl>
    <w:p w:rsidR="00A31A14" w:rsidRDefault="00A31A14" w:rsidP="00A31A14">
      <w:pPr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6C1A8D" w:rsidRPr="006C1A8D" w:rsidRDefault="006C1A8D" w:rsidP="006C1A8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8D">
        <w:rPr>
          <w:sz w:val="28"/>
          <w:szCs w:val="28"/>
        </w:rPr>
        <w:t xml:space="preserve">Всего с начала года в </w:t>
      </w:r>
      <w:r w:rsidRPr="006C1A8D">
        <w:rPr>
          <w:spacing w:val="-1"/>
          <w:sz w:val="28"/>
          <w:szCs w:val="28"/>
        </w:rPr>
        <w:t xml:space="preserve">Управление </w:t>
      </w:r>
      <w:r w:rsidRPr="006C1A8D">
        <w:rPr>
          <w:sz w:val="28"/>
          <w:szCs w:val="28"/>
        </w:rPr>
        <w:t xml:space="preserve">Федеральной антимонопольной службы по Ханты-Мансийскому автономному округу - Югре было подано </w:t>
      </w:r>
      <w:r w:rsidR="00795F16">
        <w:rPr>
          <w:sz w:val="28"/>
          <w:szCs w:val="28"/>
        </w:rPr>
        <w:t>10</w:t>
      </w:r>
      <w:r w:rsidRPr="006C1A8D">
        <w:rPr>
          <w:sz w:val="28"/>
          <w:szCs w:val="28"/>
        </w:rPr>
        <w:t xml:space="preserve"> жалоб</w:t>
      </w:r>
      <w:r w:rsidR="00132A24">
        <w:rPr>
          <w:sz w:val="28"/>
          <w:szCs w:val="28"/>
        </w:rPr>
        <w:t xml:space="preserve"> </w:t>
      </w:r>
      <w:r w:rsidRPr="006C1A8D">
        <w:rPr>
          <w:sz w:val="28"/>
          <w:szCs w:val="28"/>
        </w:rPr>
        <w:t xml:space="preserve">на действия заказчиков, </w:t>
      </w:r>
      <w:r w:rsidR="00CF3161">
        <w:rPr>
          <w:sz w:val="28"/>
          <w:szCs w:val="28"/>
        </w:rPr>
        <w:t>уполномоченного органа</w:t>
      </w:r>
      <w:r w:rsidR="008661A5">
        <w:rPr>
          <w:sz w:val="28"/>
          <w:szCs w:val="28"/>
        </w:rPr>
        <w:t xml:space="preserve">. Все </w:t>
      </w:r>
      <w:r w:rsidR="008661A5" w:rsidRPr="006C1A8D">
        <w:rPr>
          <w:sz w:val="28"/>
          <w:szCs w:val="28"/>
        </w:rPr>
        <w:t>жалобы</w:t>
      </w:r>
      <w:r w:rsidR="002E3F22">
        <w:rPr>
          <w:rFonts w:eastAsia="Calibri"/>
          <w:sz w:val="28"/>
          <w:szCs w:val="28"/>
          <w:lang w:eastAsia="en-US"/>
        </w:rPr>
        <w:t xml:space="preserve"> признаны необоснованными. </w:t>
      </w:r>
    </w:p>
    <w:p w:rsidR="005028B1" w:rsidRDefault="005028B1" w:rsidP="005B62E4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F11CD0">
        <w:rPr>
          <w:b/>
          <w:sz w:val="28"/>
          <w:szCs w:val="28"/>
        </w:rPr>
        <w:t xml:space="preserve">1 </w:t>
      </w:r>
      <w:r w:rsidR="00274CAF">
        <w:rPr>
          <w:b/>
          <w:sz w:val="28"/>
          <w:szCs w:val="28"/>
        </w:rPr>
        <w:t>полугодие</w:t>
      </w:r>
      <w:r w:rsidR="00F11CD0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F11CD0">
        <w:rPr>
          <w:b/>
          <w:sz w:val="28"/>
          <w:szCs w:val="28"/>
        </w:rPr>
        <w:t>3</w:t>
      </w:r>
      <w:r w:rsidR="00E76CC4" w:rsidRPr="00357BC7">
        <w:rPr>
          <w:b/>
          <w:sz w:val="28"/>
          <w:szCs w:val="28"/>
        </w:rPr>
        <w:t xml:space="preserve"> год</w:t>
      </w:r>
      <w:r w:rsidR="00F11CD0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11CD0">
        <w:rPr>
          <w:sz w:val="28"/>
          <w:szCs w:val="28"/>
        </w:rPr>
        <w:t xml:space="preserve">1 </w:t>
      </w:r>
      <w:r w:rsidR="00274CAF">
        <w:rPr>
          <w:sz w:val="28"/>
          <w:szCs w:val="28"/>
        </w:rPr>
        <w:t>полугодие</w:t>
      </w:r>
      <w:r w:rsidR="00F11CD0">
        <w:rPr>
          <w:sz w:val="28"/>
          <w:szCs w:val="28"/>
        </w:rPr>
        <w:t xml:space="preserve"> </w:t>
      </w:r>
      <w:r w:rsidR="002A178E" w:rsidRPr="005A59A7">
        <w:rPr>
          <w:sz w:val="28"/>
          <w:szCs w:val="28"/>
        </w:rPr>
        <w:t>202</w:t>
      </w:r>
      <w:r w:rsidR="00F11CD0">
        <w:rPr>
          <w:sz w:val="28"/>
          <w:szCs w:val="28"/>
        </w:rPr>
        <w:t>3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274CAF">
        <w:rPr>
          <w:sz w:val="28"/>
          <w:szCs w:val="28"/>
        </w:rPr>
        <w:t>54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274CAF">
        <w:rPr>
          <w:sz w:val="28"/>
          <w:szCs w:val="28"/>
        </w:rPr>
        <w:t>139,6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  <w:r w:rsidR="0038593E">
        <w:rPr>
          <w:sz w:val="28"/>
          <w:szCs w:val="28"/>
        </w:rPr>
        <w:t>;</w:t>
      </w:r>
    </w:p>
    <w:p w:rsidR="00926C12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>
        <w:rPr>
          <w:sz w:val="28"/>
          <w:szCs w:val="28"/>
        </w:rPr>
        <w:t xml:space="preserve">                         </w:t>
      </w:r>
      <w:r w:rsidR="00274CAF" w:rsidRPr="0051570C">
        <w:rPr>
          <w:sz w:val="28"/>
          <w:szCs w:val="28"/>
        </w:rPr>
        <w:t xml:space="preserve">765,89 </w:t>
      </w:r>
      <w:r w:rsidRPr="005A59A7">
        <w:rPr>
          <w:sz w:val="28"/>
          <w:szCs w:val="28"/>
        </w:rPr>
        <w:t xml:space="preserve">млн. руб. или </w:t>
      </w:r>
      <w:r w:rsidR="00274CAF">
        <w:rPr>
          <w:sz w:val="28"/>
          <w:szCs w:val="28"/>
        </w:rPr>
        <w:t>2</w:t>
      </w:r>
      <w:r w:rsidR="00F11CD0">
        <w:rPr>
          <w:sz w:val="28"/>
          <w:szCs w:val="28"/>
        </w:rPr>
        <w:t>8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Sect="00F2071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F52CA"/>
    <w:multiLevelType w:val="hybridMultilevel"/>
    <w:tmpl w:val="CEF2C944"/>
    <w:lvl w:ilvl="0" w:tplc="CA58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46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A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A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0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5A3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4FDB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1E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98D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A7E15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25E5"/>
    <w:rsid w:val="000D3238"/>
    <w:rsid w:val="000D5A5F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C19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012D"/>
    <w:rsid w:val="00120F66"/>
    <w:rsid w:val="0012111B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2A24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48FE"/>
    <w:rsid w:val="00185AF1"/>
    <w:rsid w:val="00185CA9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842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6F32"/>
    <w:rsid w:val="001D7136"/>
    <w:rsid w:val="001D7F1B"/>
    <w:rsid w:val="001E0193"/>
    <w:rsid w:val="001E0FBF"/>
    <w:rsid w:val="001E2479"/>
    <w:rsid w:val="001E26F8"/>
    <w:rsid w:val="001E56E1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2C90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4CAF"/>
    <w:rsid w:val="0027562B"/>
    <w:rsid w:val="002759A8"/>
    <w:rsid w:val="00275B60"/>
    <w:rsid w:val="00275FBE"/>
    <w:rsid w:val="00276190"/>
    <w:rsid w:val="00276DE0"/>
    <w:rsid w:val="0028029B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269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80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B7F1B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3F22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197A"/>
    <w:rsid w:val="00312CF4"/>
    <w:rsid w:val="0031316E"/>
    <w:rsid w:val="00313859"/>
    <w:rsid w:val="00314163"/>
    <w:rsid w:val="00314FA4"/>
    <w:rsid w:val="00315AEB"/>
    <w:rsid w:val="00316E54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28A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44F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93E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59CC"/>
    <w:rsid w:val="0045708C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0B5C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D54B2"/>
    <w:rsid w:val="004D77CD"/>
    <w:rsid w:val="004E0DBF"/>
    <w:rsid w:val="004E135A"/>
    <w:rsid w:val="004E149F"/>
    <w:rsid w:val="004E2085"/>
    <w:rsid w:val="004E29BE"/>
    <w:rsid w:val="004E2F94"/>
    <w:rsid w:val="004E362C"/>
    <w:rsid w:val="004E3652"/>
    <w:rsid w:val="004E43B0"/>
    <w:rsid w:val="004E4D23"/>
    <w:rsid w:val="004E69F4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70C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34B3"/>
    <w:rsid w:val="00593920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9B6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472FA"/>
    <w:rsid w:val="006501B6"/>
    <w:rsid w:val="00650416"/>
    <w:rsid w:val="00650D8C"/>
    <w:rsid w:val="0065143D"/>
    <w:rsid w:val="00651DD4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404C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5EAD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1A8D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5C8"/>
    <w:rsid w:val="006F0AD8"/>
    <w:rsid w:val="006F11A4"/>
    <w:rsid w:val="006F1411"/>
    <w:rsid w:val="006F18AC"/>
    <w:rsid w:val="006F1DDC"/>
    <w:rsid w:val="006F507B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3F2E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C1A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71A3"/>
    <w:rsid w:val="00727E12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5B6D"/>
    <w:rsid w:val="00795F16"/>
    <w:rsid w:val="007962D7"/>
    <w:rsid w:val="007968D5"/>
    <w:rsid w:val="00796E23"/>
    <w:rsid w:val="007972C3"/>
    <w:rsid w:val="007A0224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232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6C46"/>
    <w:rsid w:val="00807446"/>
    <w:rsid w:val="00807A0B"/>
    <w:rsid w:val="00807DD9"/>
    <w:rsid w:val="00810445"/>
    <w:rsid w:val="0081200F"/>
    <w:rsid w:val="0081208F"/>
    <w:rsid w:val="00812D38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1C89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5A6B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1A5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38CF"/>
    <w:rsid w:val="008D6960"/>
    <w:rsid w:val="008E0694"/>
    <w:rsid w:val="008E163C"/>
    <w:rsid w:val="008E1830"/>
    <w:rsid w:val="008E2132"/>
    <w:rsid w:val="008E26F5"/>
    <w:rsid w:val="008E2D86"/>
    <w:rsid w:val="008E2DF8"/>
    <w:rsid w:val="008E337F"/>
    <w:rsid w:val="008E35F8"/>
    <w:rsid w:val="008E49EB"/>
    <w:rsid w:val="008E55C9"/>
    <w:rsid w:val="008E5D66"/>
    <w:rsid w:val="008E651E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112E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77D72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BC6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C6623"/>
    <w:rsid w:val="009D04C8"/>
    <w:rsid w:val="009D0A0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56CD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584"/>
    <w:rsid w:val="00A06729"/>
    <w:rsid w:val="00A070AE"/>
    <w:rsid w:val="00A0794A"/>
    <w:rsid w:val="00A07BD2"/>
    <w:rsid w:val="00A10073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097E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14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4034"/>
    <w:rsid w:val="00A4605C"/>
    <w:rsid w:val="00A4668E"/>
    <w:rsid w:val="00A479E6"/>
    <w:rsid w:val="00A53503"/>
    <w:rsid w:val="00A53888"/>
    <w:rsid w:val="00A53C6F"/>
    <w:rsid w:val="00A56734"/>
    <w:rsid w:val="00A5725B"/>
    <w:rsid w:val="00A57CCA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1C8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9A3"/>
    <w:rsid w:val="00A82BDA"/>
    <w:rsid w:val="00A833B6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CDB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025"/>
    <w:rsid w:val="00AC7142"/>
    <w:rsid w:val="00AD064E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D7DEF"/>
    <w:rsid w:val="00AE07A7"/>
    <w:rsid w:val="00AE0A96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21A8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27DD7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5169"/>
    <w:rsid w:val="00B3571A"/>
    <w:rsid w:val="00B359C5"/>
    <w:rsid w:val="00B35F50"/>
    <w:rsid w:val="00B36E95"/>
    <w:rsid w:val="00B3742C"/>
    <w:rsid w:val="00B37A40"/>
    <w:rsid w:val="00B41CCB"/>
    <w:rsid w:val="00B41EB1"/>
    <w:rsid w:val="00B41FE4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475AD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72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8C3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A08"/>
    <w:rsid w:val="00B96D5B"/>
    <w:rsid w:val="00B96FC8"/>
    <w:rsid w:val="00B96FEE"/>
    <w:rsid w:val="00B97D96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B6E41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9E3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646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0F4D"/>
    <w:rsid w:val="00C129BC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2F89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3D50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9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C73"/>
    <w:rsid w:val="00CB1D26"/>
    <w:rsid w:val="00CB3C8C"/>
    <w:rsid w:val="00CB3D21"/>
    <w:rsid w:val="00CB41E6"/>
    <w:rsid w:val="00CB425E"/>
    <w:rsid w:val="00CB52A6"/>
    <w:rsid w:val="00CB5829"/>
    <w:rsid w:val="00CB6076"/>
    <w:rsid w:val="00CB6CD5"/>
    <w:rsid w:val="00CB6FE2"/>
    <w:rsid w:val="00CB7B38"/>
    <w:rsid w:val="00CB7F16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161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163E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2F74"/>
    <w:rsid w:val="00D550C2"/>
    <w:rsid w:val="00D5519F"/>
    <w:rsid w:val="00D5711C"/>
    <w:rsid w:val="00D5717B"/>
    <w:rsid w:val="00D571B9"/>
    <w:rsid w:val="00D601FA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424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4A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B6CAE"/>
    <w:rsid w:val="00EC030C"/>
    <w:rsid w:val="00EC165B"/>
    <w:rsid w:val="00EC2327"/>
    <w:rsid w:val="00EC306E"/>
    <w:rsid w:val="00EC31C7"/>
    <w:rsid w:val="00EC34E8"/>
    <w:rsid w:val="00EC58B8"/>
    <w:rsid w:val="00EC6771"/>
    <w:rsid w:val="00EC6A82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5E77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1CD0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3E58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0F7A"/>
    <w:rsid w:val="00F72701"/>
    <w:rsid w:val="00F738FC"/>
    <w:rsid w:val="00F74A2D"/>
    <w:rsid w:val="00F75672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098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D0A08"/>
    <w:rPr>
      <w:b/>
      <w:bCs/>
    </w:rPr>
  </w:style>
  <w:style w:type="table" w:customStyle="1" w:styleId="3">
    <w:name w:val="Сетка таблицы3"/>
    <w:basedOn w:val="a1"/>
    <w:next w:val="a9"/>
    <w:uiPriority w:val="59"/>
    <w:rsid w:val="0065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d9/01zrlasbyc985i6r56kbnxhj4buh0y1v/uij4mwd40v0prroo2kmahsh7yo8d7ycj.doc" TargetMode="External"/><Relationship Id="rId13" Type="http://schemas.openxmlformats.org/officeDocument/2006/relationships/hyperlink" Target="https://www.n-vartovsk.ru/upload/iblock/3eb/mc6mpn0j9slbk32ghrjzsh8vxku66fkx/b7kkxzoof71js782dnq1bma9x4ou3ybg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-vartovsk.ru/upload/iblock/c9b/39qpz3ks2kp9crqrcso3q7r2djsi0k00/8h864p504rek6exa6q72cxrb7eucaf7b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-vartovsk.ru/upload/iblock/255/ihpe4kwtjit45ybp8a33teo6a4ednn10/gt00t56s9zw856desl1bnqh5iqpq72m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624/2340289935c203452dc12a3e625846f569beb801/" TargetMode="External"/><Relationship Id="rId10" Type="http://schemas.openxmlformats.org/officeDocument/2006/relationships/hyperlink" Target="https://www.n-vartovsk.ru/upload/iblock/27b/v8pddlzfhvk3cxsyf4vttdeomktyrjxz/l7drrwfvw7ls9vml9usnynehc11bri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upload/iblock/88e/e9z32tkl2w2gd101k6nmpaerydhk8yk0/oiew01sl6fcw4eme327vrarjpjeolxfm.doc" TargetMode="External"/><Relationship Id="rId14" Type="http://schemas.openxmlformats.org/officeDocument/2006/relationships/hyperlink" Target="https://online.sbis.ru/event/787b191f-971a-40ac-b292-340847335b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3164-EF69-424C-9668-74D03386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2023-07-14T03:52:00Z</cp:lastPrinted>
  <dcterms:created xsi:type="dcterms:W3CDTF">2023-08-14T12:05:00Z</dcterms:created>
  <dcterms:modified xsi:type="dcterms:W3CDTF">2023-08-14T12:05:00Z</dcterms:modified>
</cp:coreProperties>
</file>